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3A" w:rsidRDefault="000D67EA">
      <w:pPr>
        <w:spacing w:after="0" w:line="560" w:lineRule="exact"/>
        <w:ind w:firstLine="0"/>
        <w:rPr>
          <w:rFonts w:ascii="黑体" w:eastAsia="黑体" w:hAnsi="黑体" w:cs="黑体"/>
          <w:color w:val="auto"/>
        </w:rPr>
      </w:pPr>
      <w:r>
        <w:rPr>
          <w:rFonts w:ascii="黑体" w:eastAsia="黑体" w:hAnsi="黑体" w:cs="黑体"/>
          <w:color w:val="auto"/>
        </w:rPr>
        <w:t>附</w:t>
      </w:r>
      <w:r>
        <w:rPr>
          <w:rFonts w:ascii="黑体" w:eastAsia="黑体" w:hAnsi="黑体" w:cs="黑体" w:hint="eastAsia"/>
          <w:color w:val="auto"/>
        </w:rPr>
        <w:t>件</w:t>
      </w:r>
      <w:r>
        <w:rPr>
          <w:rFonts w:ascii="黑体" w:eastAsia="黑体" w:hAnsi="黑体" w:cs="黑体" w:hint="eastAsia"/>
          <w:color w:val="auto"/>
        </w:rPr>
        <w:t>3</w:t>
      </w:r>
    </w:p>
    <w:p w:rsidR="0097103A" w:rsidRDefault="000D67EA" w:rsidP="00BF681F">
      <w:pPr>
        <w:spacing w:afterLines="50" w:after="120" w:line="500" w:lineRule="exact"/>
        <w:ind w:firstLine="0"/>
        <w:jc w:val="center"/>
        <w:rPr>
          <w:rFonts w:ascii="方正小标宋简体" w:eastAsia="方正小标宋简体" w:hAnsi="方正小标宋简体" w:cs="方正小标宋简体"/>
          <w:color w:val="auto"/>
          <w:sz w:val="44"/>
          <w:szCs w:val="44"/>
        </w:rPr>
      </w:pPr>
      <w:bookmarkStart w:id="0" w:name="_Hlk103689535"/>
      <w:bookmarkStart w:id="1" w:name="_GoBack"/>
      <w:r>
        <w:rPr>
          <w:rFonts w:ascii="方正小标宋简体" w:eastAsia="方正小标宋简体" w:hAnsi="方正小标宋简体" w:cs="方正小标宋简体" w:hint="eastAsia"/>
          <w:color w:val="auto"/>
          <w:sz w:val="44"/>
          <w:szCs w:val="44"/>
        </w:rPr>
        <w:t>公园等级评价指标表</w:t>
      </w:r>
      <w:bookmarkEnd w:id="0"/>
    </w:p>
    <w:tbl>
      <w:tblPr>
        <w:tblStyle w:val="a5"/>
        <w:tblW w:w="13937" w:type="dxa"/>
        <w:jc w:val="center"/>
        <w:tblLook w:val="04A0" w:firstRow="1" w:lastRow="0" w:firstColumn="1" w:lastColumn="0" w:noHBand="0" w:noVBand="1"/>
      </w:tblPr>
      <w:tblGrid>
        <w:gridCol w:w="1127"/>
        <w:gridCol w:w="1162"/>
        <w:gridCol w:w="2131"/>
        <w:gridCol w:w="1496"/>
        <w:gridCol w:w="735"/>
        <w:gridCol w:w="6572"/>
        <w:gridCol w:w="714"/>
      </w:tblGrid>
      <w:tr w:rsidR="0097103A">
        <w:trPr>
          <w:trHeight w:val="414"/>
          <w:tblHeader/>
          <w:jc w:val="center"/>
        </w:trPr>
        <w:tc>
          <w:tcPr>
            <w:tcW w:w="1127" w:type="dxa"/>
            <w:shd w:val="clear" w:color="auto" w:fill="FFFFFF" w:themeFill="background1"/>
            <w:vAlign w:val="center"/>
          </w:tcPr>
          <w:p w:rsidR="0097103A" w:rsidRDefault="000D67EA">
            <w:pPr>
              <w:spacing w:after="0" w:line="240" w:lineRule="auto"/>
              <w:ind w:firstLine="0"/>
              <w:jc w:val="center"/>
              <w:rPr>
                <w:rFonts w:ascii="黑体" w:eastAsia="黑体" w:hAnsi="黑体" w:cs="宋体"/>
                <w:color w:val="auto"/>
                <w:kern w:val="0"/>
                <w:sz w:val="21"/>
                <w:szCs w:val="21"/>
              </w:rPr>
            </w:pPr>
            <w:bookmarkStart w:id="2" w:name="_Hlk89779557"/>
            <w:bookmarkEnd w:id="1"/>
            <w:r>
              <w:rPr>
                <w:rFonts w:ascii="黑体" w:eastAsia="黑体" w:hAnsi="黑体" w:cs="宋体" w:hint="eastAsia"/>
                <w:color w:val="auto"/>
                <w:kern w:val="0"/>
                <w:sz w:val="21"/>
                <w:szCs w:val="21"/>
              </w:rPr>
              <w:t>大项</w:t>
            </w:r>
          </w:p>
        </w:tc>
        <w:tc>
          <w:tcPr>
            <w:tcW w:w="1162" w:type="dxa"/>
            <w:shd w:val="clear" w:color="auto" w:fill="FFFFFF" w:themeFill="background1"/>
            <w:vAlign w:val="center"/>
          </w:tcPr>
          <w:p w:rsidR="0097103A" w:rsidRDefault="000D67EA">
            <w:pPr>
              <w:spacing w:after="0" w:line="240" w:lineRule="auto"/>
              <w:ind w:firstLine="0"/>
              <w:jc w:val="center"/>
              <w:rPr>
                <w:rFonts w:ascii="黑体" w:eastAsia="黑体" w:hAnsi="黑体" w:cs="宋体"/>
                <w:color w:val="auto"/>
                <w:kern w:val="0"/>
                <w:sz w:val="21"/>
                <w:szCs w:val="21"/>
              </w:rPr>
            </w:pPr>
            <w:r>
              <w:rPr>
                <w:rFonts w:ascii="黑体" w:eastAsia="黑体" w:hAnsi="黑体" w:cs="宋体" w:hint="eastAsia"/>
                <w:color w:val="auto"/>
                <w:kern w:val="0"/>
                <w:sz w:val="21"/>
                <w:szCs w:val="21"/>
              </w:rPr>
              <w:t>中项</w:t>
            </w:r>
          </w:p>
        </w:tc>
        <w:tc>
          <w:tcPr>
            <w:tcW w:w="2131" w:type="dxa"/>
            <w:shd w:val="clear" w:color="auto" w:fill="FFFFFF" w:themeFill="background1"/>
            <w:vAlign w:val="center"/>
          </w:tcPr>
          <w:p w:rsidR="0097103A" w:rsidRDefault="000D67EA">
            <w:pPr>
              <w:spacing w:after="0" w:line="240" w:lineRule="auto"/>
              <w:ind w:firstLine="0"/>
              <w:jc w:val="center"/>
              <w:rPr>
                <w:rFonts w:ascii="黑体" w:eastAsia="黑体" w:hAnsi="黑体" w:cs="宋体"/>
                <w:color w:val="auto"/>
                <w:kern w:val="0"/>
                <w:sz w:val="21"/>
                <w:szCs w:val="21"/>
              </w:rPr>
            </w:pPr>
            <w:r>
              <w:rPr>
                <w:rFonts w:ascii="黑体" w:eastAsia="黑体" w:hAnsi="黑体" w:cs="宋体" w:hint="eastAsia"/>
                <w:color w:val="auto"/>
                <w:kern w:val="0"/>
                <w:sz w:val="21"/>
                <w:szCs w:val="21"/>
              </w:rPr>
              <w:t>说明</w:t>
            </w:r>
          </w:p>
        </w:tc>
        <w:tc>
          <w:tcPr>
            <w:tcW w:w="1496" w:type="dxa"/>
            <w:shd w:val="clear" w:color="auto" w:fill="FFFFFF" w:themeFill="background1"/>
            <w:vAlign w:val="center"/>
          </w:tcPr>
          <w:p w:rsidR="0097103A" w:rsidRDefault="000D67EA">
            <w:pPr>
              <w:spacing w:after="0" w:line="240" w:lineRule="auto"/>
              <w:ind w:firstLine="0"/>
              <w:jc w:val="center"/>
              <w:rPr>
                <w:rFonts w:ascii="黑体" w:eastAsia="黑体" w:hAnsi="黑体" w:cs="宋体"/>
                <w:color w:val="auto"/>
                <w:kern w:val="0"/>
                <w:sz w:val="21"/>
                <w:szCs w:val="21"/>
              </w:rPr>
            </w:pPr>
            <w:r>
              <w:rPr>
                <w:rFonts w:ascii="黑体" w:eastAsia="黑体" w:hAnsi="黑体" w:cs="宋体" w:hint="eastAsia"/>
                <w:color w:val="auto"/>
                <w:kern w:val="0"/>
                <w:sz w:val="21"/>
                <w:szCs w:val="21"/>
              </w:rPr>
              <w:t>小项</w:t>
            </w:r>
          </w:p>
        </w:tc>
        <w:tc>
          <w:tcPr>
            <w:tcW w:w="735" w:type="dxa"/>
            <w:shd w:val="clear" w:color="auto" w:fill="FFFFFF" w:themeFill="background1"/>
            <w:vAlign w:val="center"/>
          </w:tcPr>
          <w:p w:rsidR="0097103A" w:rsidRDefault="000D67EA">
            <w:pPr>
              <w:spacing w:after="0" w:line="240" w:lineRule="auto"/>
              <w:ind w:firstLine="0"/>
              <w:jc w:val="center"/>
              <w:rPr>
                <w:rFonts w:ascii="黑体" w:eastAsia="黑体" w:hAnsi="黑体" w:cs="宋体"/>
                <w:color w:val="auto"/>
                <w:kern w:val="0"/>
                <w:sz w:val="21"/>
                <w:szCs w:val="21"/>
              </w:rPr>
            </w:pPr>
            <w:r>
              <w:rPr>
                <w:rFonts w:ascii="黑体" w:eastAsia="黑体" w:hAnsi="黑体" w:cs="宋体" w:hint="eastAsia"/>
                <w:color w:val="auto"/>
                <w:kern w:val="0"/>
                <w:sz w:val="21"/>
                <w:szCs w:val="21"/>
              </w:rPr>
              <w:t>分值</w:t>
            </w:r>
          </w:p>
        </w:tc>
        <w:tc>
          <w:tcPr>
            <w:tcW w:w="6572" w:type="dxa"/>
            <w:shd w:val="clear" w:color="auto" w:fill="FFFFFF" w:themeFill="background1"/>
            <w:vAlign w:val="center"/>
          </w:tcPr>
          <w:p w:rsidR="0097103A" w:rsidRDefault="000D67EA">
            <w:pPr>
              <w:spacing w:after="0" w:line="240" w:lineRule="auto"/>
              <w:ind w:firstLine="0"/>
              <w:jc w:val="center"/>
              <w:rPr>
                <w:rFonts w:ascii="黑体" w:eastAsia="黑体" w:hAnsi="黑体" w:cs="宋体"/>
                <w:color w:val="auto"/>
                <w:kern w:val="0"/>
                <w:sz w:val="21"/>
                <w:szCs w:val="21"/>
              </w:rPr>
            </w:pPr>
            <w:r>
              <w:rPr>
                <w:rFonts w:ascii="黑体" w:eastAsia="黑体" w:hAnsi="黑体" w:cs="宋体" w:hint="eastAsia"/>
                <w:color w:val="auto"/>
                <w:kern w:val="0"/>
                <w:sz w:val="21"/>
                <w:szCs w:val="21"/>
              </w:rPr>
              <w:t>评价内容及满分标准</w:t>
            </w:r>
          </w:p>
        </w:tc>
        <w:tc>
          <w:tcPr>
            <w:tcW w:w="714" w:type="dxa"/>
            <w:shd w:val="clear" w:color="auto" w:fill="FFFFFF" w:themeFill="background1"/>
            <w:vAlign w:val="center"/>
          </w:tcPr>
          <w:p w:rsidR="0097103A" w:rsidRDefault="000D67EA">
            <w:pPr>
              <w:spacing w:after="0" w:line="240" w:lineRule="auto"/>
              <w:ind w:firstLine="0"/>
              <w:jc w:val="center"/>
              <w:rPr>
                <w:rFonts w:ascii="黑体" w:eastAsia="黑体" w:hAnsi="黑体" w:cs="宋体"/>
                <w:color w:val="auto"/>
                <w:kern w:val="0"/>
                <w:sz w:val="21"/>
                <w:szCs w:val="21"/>
              </w:rPr>
            </w:pPr>
            <w:r>
              <w:rPr>
                <w:rFonts w:ascii="黑体" w:eastAsia="黑体" w:hAnsi="黑体" w:cs="宋体" w:hint="eastAsia"/>
                <w:color w:val="auto"/>
                <w:kern w:val="0"/>
                <w:sz w:val="21"/>
                <w:szCs w:val="21"/>
              </w:rPr>
              <w:t>得分</w:t>
            </w:r>
          </w:p>
        </w:tc>
      </w:tr>
      <w:tr w:rsidR="0097103A">
        <w:trPr>
          <w:trHeight w:val="260"/>
          <w:jc w:val="center"/>
        </w:trPr>
        <w:tc>
          <w:tcPr>
            <w:tcW w:w="1127" w:type="dxa"/>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基本情况（</w:t>
            </w:r>
            <w:r>
              <w:rPr>
                <w:rFonts w:ascii="仿宋_GB2312" w:eastAsia="仿宋_GB2312" w:hAnsi="仿宋_GB2312" w:cs="仿宋_GB2312" w:hint="eastAsia"/>
                <w:color w:val="auto"/>
                <w:sz w:val="21"/>
                <w:szCs w:val="21"/>
              </w:rPr>
              <w:t>30</w:t>
            </w:r>
            <w:r>
              <w:rPr>
                <w:rFonts w:ascii="仿宋_GB2312" w:eastAsia="仿宋_GB2312" w:hAnsi="仿宋_GB2312" w:cs="仿宋_GB2312" w:hint="eastAsia"/>
                <w:color w:val="auto"/>
                <w:sz w:val="21"/>
                <w:szCs w:val="21"/>
              </w:rPr>
              <w:t>）</w:t>
            </w:r>
          </w:p>
        </w:tc>
        <w:tc>
          <w:tcPr>
            <w:tcW w:w="1162"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区位</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4</w:t>
            </w:r>
            <w:r>
              <w:rPr>
                <w:rFonts w:ascii="仿宋_GB2312" w:eastAsia="仿宋_GB2312" w:hAnsi="仿宋_GB2312" w:cs="仿宋_GB2312" w:hint="eastAsia"/>
                <w:color w:val="auto"/>
                <w:sz w:val="21"/>
                <w:szCs w:val="21"/>
              </w:rPr>
              <w:t>分）</w:t>
            </w:r>
          </w:p>
        </w:tc>
        <w:tc>
          <w:tcPr>
            <w:tcW w:w="2131" w:type="dxa"/>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对公园区位的重要性进行评价。</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区位</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4</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城市重点区域或组团核心。</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390"/>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功能分区</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2</w:t>
            </w:r>
            <w:r>
              <w:rPr>
                <w:rFonts w:ascii="仿宋_GB2312" w:eastAsia="仿宋_GB2312" w:hAnsi="仿宋_GB2312" w:cs="仿宋_GB2312" w:hint="eastAsia"/>
                <w:color w:val="auto"/>
                <w:sz w:val="21"/>
                <w:szCs w:val="21"/>
              </w:rPr>
              <w:t>分）</w:t>
            </w:r>
          </w:p>
        </w:tc>
        <w:tc>
          <w:tcPr>
            <w:tcW w:w="2131" w:type="dxa"/>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对公园功能分区布局及规模进行评价。</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功能分区</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功能分区布局及规模合理，可满足游人日常使用需求。</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174"/>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景观品质</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8</w:t>
            </w:r>
            <w:r>
              <w:rPr>
                <w:rFonts w:ascii="仿宋_GB2312" w:eastAsia="仿宋_GB2312" w:hAnsi="仿宋_GB2312" w:cs="仿宋_GB2312" w:hint="eastAsia"/>
                <w:color w:val="auto"/>
                <w:sz w:val="21"/>
                <w:szCs w:val="21"/>
              </w:rPr>
              <w:t>分）</w:t>
            </w:r>
          </w:p>
        </w:tc>
        <w:tc>
          <w:tcPr>
            <w:tcW w:w="2131" w:type="dxa"/>
            <w:vMerge w:val="restart"/>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对公园景观风貌及环境品质进行评价。</w:t>
            </w:r>
          </w:p>
        </w:tc>
        <w:tc>
          <w:tcPr>
            <w:tcW w:w="1496" w:type="dxa"/>
            <w:tcBorders>
              <w:top w:val="nil"/>
              <w:left w:val="nil"/>
              <w:right w:val="single" w:sz="4" w:space="0" w:color="auto"/>
            </w:tcBorders>
            <w:shd w:val="clear" w:color="auto" w:fill="auto"/>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rPr>
              <w:t>空间组织、地形与水景</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空间组织有序，地形地势美观，水体形态及驳岸与环境相协调。</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88"/>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tcBorders>
              <w:top w:val="nil"/>
              <w:left w:val="nil"/>
              <w:right w:val="single" w:sz="4" w:space="0" w:color="auto"/>
            </w:tcBorders>
            <w:shd w:val="clear" w:color="auto" w:fill="auto"/>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rPr>
              <w:t>植物景观</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4</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植物景观优美，配置合理，色彩多样，层次丰富，注重乡土植物应用。</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174"/>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tcBorders>
              <w:top w:val="nil"/>
              <w:left w:val="nil"/>
              <w:right w:val="single" w:sz="4" w:space="0" w:color="auto"/>
            </w:tcBorders>
            <w:shd w:val="clear" w:color="auto" w:fill="auto"/>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kern w:val="0"/>
                <w:sz w:val="21"/>
                <w:szCs w:val="21"/>
              </w:rPr>
              <w:t>园林建筑及小品</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园林建筑及小品美观实用，具有文化特色，与周边环境相协调。</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设施配置</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6</w:t>
            </w:r>
            <w:r>
              <w:rPr>
                <w:rFonts w:ascii="仿宋_GB2312" w:eastAsia="仿宋_GB2312" w:hAnsi="仿宋_GB2312" w:cs="仿宋_GB2312" w:hint="eastAsia"/>
                <w:color w:val="auto"/>
                <w:sz w:val="21"/>
                <w:szCs w:val="21"/>
              </w:rPr>
              <w:t>分）</w:t>
            </w:r>
          </w:p>
        </w:tc>
        <w:tc>
          <w:tcPr>
            <w:tcW w:w="2131" w:type="dxa"/>
            <w:vMerge w:val="restart"/>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对公园各类设施配置水平及建设合</w:t>
            </w:r>
            <w:proofErr w:type="gramStart"/>
            <w:r>
              <w:rPr>
                <w:rFonts w:ascii="仿宋_GB2312" w:eastAsia="仿宋_GB2312" w:hAnsi="仿宋_GB2312" w:cs="仿宋_GB2312" w:hint="eastAsia"/>
                <w:color w:val="auto"/>
                <w:sz w:val="21"/>
                <w:szCs w:val="21"/>
              </w:rPr>
              <w:t>规</w:t>
            </w:r>
            <w:proofErr w:type="gramEnd"/>
            <w:r>
              <w:rPr>
                <w:rFonts w:ascii="仿宋_GB2312" w:eastAsia="仿宋_GB2312" w:hAnsi="仿宋_GB2312" w:cs="仿宋_GB2312" w:hint="eastAsia"/>
                <w:color w:val="auto"/>
                <w:sz w:val="21"/>
                <w:szCs w:val="21"/>
              </w:rPr>
              <w:t>性进行评价。</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设施布局与配建水平</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3</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游憩、服务、管理三类设施布局合理，配置符合公园性质、规模和功能承载要求，满足游人使用需求。</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园路</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园路分级设置符合规范要求和功能需要，地面铺装美观整齐，游览线路顺畅，满足无障碍通行需求。</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建筑设施合</w:t>
            </w:r>
            <w:proofErr w:type="gramStart"/>
            <w:r>
              <w:rPr>
                <w:rFonts w:ascii="仿宋_GB2312" w:eastAsia="仿宋_GB2312" w:hAnsi="仿宋_GB2312" w:cs="仿宋_GB2312" w:hint="eastAsia"/>
                <w:color w:val="auto"/>
                <w:sz w:val="21"/>
                <w:szCs w:val="21"/>
              </w:rPr>
              <w:t>规</w:t>
            </w:r>
            <w:proofErr w:type="gramEnd"/>
            <w:r>
              <w:rPr>
                <w:rFonts w:ascii="仿宋_GB2312" w:eastAsia="仿宋_GB2312" w:hAnsi="仿宋_GB2312" w:cs="仿宋_GB2312" w:hint="eastAsia"/>
                <w:color w:val="auto"/>
                <w:sz w:val="21"/>
                <w:szCs w:val="21"/>
              </w:rPr>
              <w:t>性及确权情况</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建筑配套用房依法依规建设，证件齐全。</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724"/>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影响力</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5</w:t>
            </w:r>
            <w:r>
              <w:rPr>
                <w:rFonts w:ascii="仿宋_GB2312" w:eastAsia="仿宋_GB2312" w:hAnsi="仿宋_GB2312" w:cs="仿宋_GB2312" w:hint="eastAsia"/>
                <w:color w:val="auto"/>
                <w:sz w:val="21"/>
                <w:szCs w:val="21"/>
              </w:rPr>
              <w:t>分）</w:t>
            </w:r>
          </w:p>
        </w:tc>
        <w:tc>
          <w:tcPr>
            <w:tcW w:w="2131" w:type="dxa"/>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对公园的重要性及社会影响力进行评价。</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重要性及社会影响</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5</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历史名园，北京市主要公园（</w:t>
            </w:r>
            <w:r>
              <w:rPr>
                <w:rFonts w:ascii="仿宋_GB2312" w:eastAsia="仿宋_GB2312" w:hAnsi="仿宋_GB2312" w:cs="仿宋_GB2312" w:hint="eastAsia"/>
                <w:color w:val="auto"/>
                <w:sz w:val="21"/>
                <w:szCs w:val="21"/>
              </w:rPr>
              <w:t>5</w:t>
            </w:r>
            <w:r>
              <w:rPr>
                <w:rFonts w:ascii="仿宋_GB2312" w:eastAsia="仿宋_GB2312" w:hAnsi="仿宋_GB2312" w:cs="仿宋_GB2312" w:hint="eastAsia"/>
                <w:color w:val="auto"/>
                <w:sz w:val="21"/>
                <w:szCs w:val="21"/>
              </w:rPr>
              <w:t>）；除历史名园及北京市主要公园以外的精品公园、北京市</w:t>
            </w:r>
            <w:proofErr w:type="gramStart"/>
            <w:r>
              <w:rPr>
                <w:rFonts w:ascii="仿宋_GB2312" w:eastAsia="仿宋_GB2312" w:hAnsi="仿宋_GB2312" w:cs="仿宋_GB2312" w:hint="eastAsia"/>
                <w:color w:val="auto"/>
                <w:sz w:val="21"/>
                <w:szCs w:val="21"/>
              </w:rPr>
              <w:t>网红打卡</w:t>
            </w:r>
            <w:proofErr w:type="gramEnd"/>
            <w:r>
              <w:rPr>
                <w:rFonts w:ascii="仿宋_GB2312" w:eastAsia="仿宋_GB2312" w:hAnsi="仿宋_GB2312" w:cs="仿宋_GB2312" w:hint="eastAsia"/>
                <w:color w:val="auto"/>
                <w:sz w:val="21"/>
                <w:szCs w:val="21"/>
              </w:rPr>
              <w:t>地上榜公园（</w:t>
            </w:r>
            <w:r>
              <w:rPr>
                <w:rFonts w:ascii="仿宋_GB2312" w:eastAsia="仿宋_GB2312" w:hAnsi="仿宋_GB2312" w:cs="仿宋_GB2312" w:hint="eastAsia"/>
                <w:color w:val="auto"/>
                <w:sz w:val="21"/>
                <w:szCs w:val="21"/>
              </w:rPr>
              <w:t>4</w:t>
            </w:r>
            <w:r>
              <w:rPr>
                <w:rFonts w:ascii="仿宋_GB2312" w:eastAsia="仿宋_GB2312" w:hAnsi="仿宋_GB2312" w:cs="仿宋_GB2312" w:hint="eastAsia"/>
                <w:color w:val="auto"/>
                <w:sz w:val="21"/>
                <w:szCs w:val="21"/>
              </w:rPr>
              <w:t>）；其他公园根据价值及知名度酌减得分。</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管理机构</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5</w:t>
            </w:r>
            <w:r>
              <w:rPr>
                <w:rFonts w:ascii="仿宋_GB2312" w:eastAsia="仿宋_GB2312" w:hAnsi="仿宋_GB2312" w:cs="仿宋_GB2312" w:hint="eastAsia"/>
                <w:color w:val="auto"/>
                <w:sz w:val="21"/>
                <w:szCs w:val="21"/>
              </w:rPr>
              <w:t>）</w:t>
            </w:r>
          </w:p>
        </w:tc>
        <w:tc>
          <w:tcPr>
            <w:tcW w:w="2131" w:type="dxa"/>
            <w:vMerge w:val="restart"/>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对公园管理机构及人员配置进行评价。</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管理机制</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3</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公园有</w:t>
            </w:r>
            <w:proofErr w:type="gramStart"/>
            <w:r>
              <w:rPr>
                <w:rFonts w:ascii="仿宋_GB2312" w:eastAsia="仿宋_GB2312" w:hAnsi="仿宋_GB2312" w:cs="仿宋_GB2312" w:hint="eastAsia"/>
                <w:color w:val="auto"/>
                <w:sz w:val="21"/>
                <w:szCs w:val="21"/>
              </w:rPr>
              <w:t>固定管理</w:t>
            </w:r>
            <w:proofErr w:type="gramEnd"/>
            <w:r>
              <w:rPr>
                <w:rFonts w:ascii="仿宋_GB2312" w:eastAsia="仿宋_GB2312" w:hAnsi="仿宋_GB2312" w:cs="仿宋_GB2312" w:hint="eastAsia"/>
                <w:color w:val="auto"/>
                <w:sz w:val="21"/>
                <w:szCs w:val="21"/>
              </w:rPr>
              <w:t>机构或有稳定的管理人员，各项管理工作规范有序，管理经费有保障。</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人员配置</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各岗位人员专业配置合理，职能明确，满足管理服务需求。</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137"/>
          <w:jc w:val="center"/>
        </w:trPr>
        <w:tc>
          <w:tcPr>
            <w:tcW w:w="1127" w:type="dxa"/>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保护维护（</w:t>
            </w:r>
            <w:r>
              <w:rPr>
                <w:rFonts w:ascii="仿宋_GB2312" w:eastAsia="仿宋_GB2312" w:hAnsi="仿宋_GB2312" w:cs="仿宋_GB2312" w:hint="eastAsia"/>
                <w:color w:val="auto"/>
                <w:sz w:val="21"/>
                <w:szCs w:val="21"/>
              </w:rPr>
              <w:t>40</w:t>
            </w:r>
            <w:r>
              <w:rPr>
                <w:rFonts w:ascii="仿宋_GB2312" w:eastAsia="仿宋_GB2312" w:hAnsi="仿宋_GB2312" w:cs="仿宋_GB2312" w:hint="eastAsia"/>
                <w:color w:val="auto"/>
                <w:sz w:val="21"/>
                <w:szCs w:val="21"/>
              </w:rPr>
              <w:t>）</w:t>
            </w:r>
          </w:p>
        </w:tc>
        <w:tc>
          <w:tcPr>
            <w:tcW w:w="1162" w:type="dxa"/>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资源保护</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7</w:t>
            </w:r>
            <w:r>
              <w:rPr>
                <w:rFonts w:ascii="仿宋_GB2312" w:eastAsia="仿宋_GB2312" w:hAnsi="仿宋_GB2312" w:cs="仿宋_GB2312" w:hint="eastAsia"/>
                <w:color w:val="auto"/>
                <w:sz w:val="21"/>
                <w:szCs w:val="21"/>
              </w:rPr>
              <w:t>分）</w:t>
            </w:r>
          </w:p>
        </w:tc>
        <w:tc>
          <w:tcPr>
            <w:tcW w:w="2131" w:type="dxa"/>
            <w:vMerge w:val="restart"/>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对公园各类资源的保护措施及效果进行评价。</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绿地资源保护</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3</w:t>
            </w:r>
          </w:p>
        </w:tc>
        <w:tc>
          <w:tcPr>
            <w:tcW w:w="6572" w:type="dxa"/>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公园绿地资源及土壤保护工作到位，措施合理，没有违法占用绿地情况。</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古树名木保护</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古树名木保护管理符合相关法规条例要求，挂牌建档，巡检到位，复壮及时，保护率</w:t>
            </w:r>
            <w:r>
              <w:rPr>
                <w:rFonts w:ascii="仿宋_GB2312" w:eastAsia="仿宋_GB2312" w:hAnsi="仿宋_GB2312" w:cs="仿宋_GB2312" w:hint="eastAsia"/>
                <w:color w:val="auto"/>
                <w:sz w:val="21"/>
                <w:szCs w:val="21"/>
              </w:rPr>
              <w:t>100%</w:t>
            </w:r>
            <w:r>
              <w:rPr>
                <w:rFonts w:ascii="仿宋_GB2312" w:eastAsia="仿宋_GB2312" w:hAnsi="仿宋_GB2312" w:cs="仿宋_GB2312" w:hint="eastAsia"/>
                <w:color w:val="auto"/>
                <w:sz w:val="21"/>
                <w:szCs w:val="21"/>
              </w:rPr>
              <w:t>。</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文化资源保护</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对文物遗迹及红色文化等历史文化资源保护、宣传措施得力，文物占用腾退工作到位。</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湿地资源保护</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公园湿地资源保护符合法律规范要求，保护工作到位，措施合理。</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野生动植物资源保护</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野生动物、野生植物资源保护符合法律规范要求，保护工作到位，措施合理。</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绿地养护</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20</w:t>
            </w:r>
            <w:r>
              <w:rPr>
                <w:rFonts w:ascii="仿宋_GB2312" w:eastAsia="仿宋_GB2312" w:hAnsi="仿宋_GB2312" w:cs="仿宋_GB2312" w:hint="eastAsia"/>
                <w:color w:val="auto"/>
                <w:sz w:val="21"/>
                <w:szCs w:val="21"/>
              </w:rPr>
              <w:t>分）</w:t>
            </w:r>
          </w:p>
        </w:tc>
        <w:tc>
          <w:tcPr>
            <w:tcW w:w="2131" w:type="dxa"/>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对绿地整体养护水平进行评价。</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绿地养护</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20</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树木生长健壮，树冠饱满，树形整齐美观，修剪合理；</w:t>
            </w:r>
          </w:p>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无死树、枯枝，基本无病虫害、药害现象；</w:t>
            </w:r>
          </w:p>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草坪地被生长茂盛、平整，无杂草、无裸露地表，无污物、垃圾；</w:t>
            </w:r>
          </w:p>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花坛花境配置合理，观赏效果好，三季有花有景；</w:t>
            </w:r>
          </w:p>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绿篱生长旺盛，修剪整齐，无死株、缺档；</w:t>
            </w:r>
          </w:p>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达到相应等级绿地养护质量标准。</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1170"/>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设施维护</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6</w:t>
            </w:r>
            <w:r>
              <w:rPr>
                <w:rFonts w:ascii="仿宋_GB2312" w:eastAsia="仿宋_GB2312" w:hAnsi="仿宋_GB2312" w:cs="仿宋_GB2312" w:hint="eastAsia"/>
                <w:color w:val="auto"/>
                <w:sz w:val="21"/>
                <w:szCs w:val="21"/>
              </w:rPr>
              <w:t>分）</w:t>
            </w:r>
          </w:p>
        </w:tc>
        <w:tc>
          <w:tcPr>
            <w:tcW w:w="2131" w:type="dxa"/>
            <w:vMerge w:val="restart"/>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对公园各类设施维护水平进行评价。</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游憩、服务、管理各类设施维护</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4</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建筑设施检查、检测、维护、维修到位，无安全隐患，符合相关技术安全规范要求；座椅、标识、园灯、围栏、运动健身器械等设施完好无损，能正常使用，舒适安全，相关提示清晰明显，有故障及时修理或更换；活动场地及园路地面无坑洼，无破损，无安全隐患。</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基础设施维护</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园林电、气、热、水、监控等基础设施维护良好，运行正常。</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卫生保洁</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7</w:t>
            </w:r>
            <w:r>
              <w:rPr>
                <w:rFonts w:ascii="仿宋_GB2312" w:eastAsia="仿宋_GB2312" w:hAnsi="仿宋_GB2312" w:cs="仿宋_GB2312" w:hint="eastAsia"/>
                <w:color w:val="auto"/>
                <w:sz w:val="21"/>
                <w:szCs w:val="21"/>
              </w:rPr>
              <w:t>分）</w:t>
            </w:r>
          </w:p>
        </w:tc>
        <w:tc>
          <w:tcPr>
            <w:tcW w:w="2131" w:type="dxa"/>
            <w:vMerge w:val="restart"/>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对园容卫生进行评价。</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绿地、铺装、及设施保洁</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绿地及园路铺装地面干净，无垃圾，地面无积水；各类设施外表干净、整洁，无乱贴乱画。</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水体保洁</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园内水体清洁，无异味，水质达标。</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公厕保洁</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公厕无异味，无尿垢，无蚊蝇，无乱贴广告，地面无积水；配置洗手液及厕纸。</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垃圾处理</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生活垃圾分类投放、收运，日产日清；绿化废弃物清理及时。</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321"/>
          <w:jc w:val="center"/>
        </w:trPr>
        <w:tc>
          <w:tcPr>
            <w:tcW w:w="1127" w:type="dxa"/>
            <w:vMerge w:val="restart"/>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服务运营（</w:t>
            </w:r>
            <w:r>
              <w:rPr>
                <w:rFonts w:ascii="仿宋_GB2312" w:eastAsia="仿宋_GB2312" w:hAnsi="仿宋_GB2312" w:cs="仿宋_GB2312" w:hint="eastAsia"/>
                <w:color w:val="auto"/>
                <w:sz w:val="21"/>
                <w:szCs w:val="21"/>
              </w:rPr>
              <w:t>30</w:t>
            </w:r>
            <w:r>
              <w:rPr>
                <w:rFonts w:ascii="仿宋_GB2312" w:eastAsia="仿宋_GB2312" w:hAnsi="仿宋_GB2312" w:cs="仿宋_GB2312" w:hint="eastAsia"/>
                <w:color w:val="auto"/>
                <w:sz w:val="21"/>
                <w:szCs w:val="21"/>
              </w:rPr>
              <w:t>）</w:t>
            </w:r>
          </w:p>
        </w:tc>
        <w:tc>
          <w:tcPr>
            <w:tcW w:w="1162" w:type="dxa"/>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服务管理</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12</w:t>
            </w:r>
            <w:r>
              <w:rPr>
                <w:rFonts w:ascii="仿宋_GB2312" w:eastAsia="仿宋_GB2312" w:hAnsi="仿宋_GB2312" w:cs="仿宋_GB2312" w:hint="eastAsia"/>
                <w:color w:val="auto"/>
                <w:sz w:val="21"/>
                <w:szCs w:val="21"/>
              </w:rPr>
              <w:t>分）</w:t>
            </w:r>
          </w:p>
        </w:tc>
        <w:tc>
          <w:tcPr>
            <w:tcW w:w="2131" w:type="dxa"/>
            <w:vMerge w:val="restart"/>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对公园管理服务、制度建设等情况进行评价。</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制度建设</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管理制度健全，有年度工作计划及总结，档案管理规范。</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321"/>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优待优惠</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按规定对</w:t>
            </w:r>
            <w:r>
              <w:rPr>
                <w:rFonts w:ascii="仿宋_GB2312" w:eastAsia="仿宋_GB2312" w:hAnsi="仿宋_GB2312" w:cs="仿宋_GB2312" w:hint="eastAsia"/>
                <w:color w:val="auto"/>
                <w:sz w:val="21"/>
                <w:szCs w:val="21"/>
              </w:rPr>
              <w:t>特定人群</w:t>
            </w:r>
            <w:r>
              <w:rPr>
                <w:rFonts w:ascii="仿宋_GB2312" w:eastAsia="仿宋_GB2312" w:hAnsi="仿宋_GB2312" w:cs="仿宋_GB2312" w:hint="eastAsia"/>
                <w:color w:val="auto"/>
                <w:sz w:val="21"/>
                <w:szCs w:val="21"/>
              </w:rPr>
              <w:t>实行门票减免等优待优惠政策</w:t>
            </w:r>
            <w:r>
              <w:rPr>
                <w:rFonts w:ascii="仿宋_GB2312" w:eastAsia="仿宋_GB2312" w:hAnsi="仿宋_GB2312" w:cs="仿宋_GB2312" w:hint="eastAsia"/>
                <w:color w:val="auto"/>
                <w:sz w:val="21"/>
                <w:szCs w:val="21"/>
              </w:rPr>
              <w:t>。</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便捷服务</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有针对“一老一小”等特定游客群体的关怀服务；通过公园网站或新媒体平台发布信息及时。</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噪声管理</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规定娱乐、健身等活动的区域、时段、音量，采取有效措施，避免公园内各类噪声对其他游客及周边住宅等噪声敏感建筑物产生影响。</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547"/>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导</w:t>
            </w:r>
            <w:proofErr w:type="gramStart"/>
            <w:r>
              <w:rPr>
                <w:rFonts w:ascii="仿宋_GB2312" w:eastAsia="仿宋_GB2312" w:hAnsi="仿宋_GB2312" w:cs="仿宋_GB2312" w:hint="eastAsia"/>
                <w:color w:val="auto"/>
                <w:sz w:val="21"/>
                <w:szCs w:val="21"/>
              </w:rPr>
              <w:t>览</w:t>
            </w:r>
            <w:proofErr w:type="gramEnd"/>
            <w:r>
              <w:rPr>
                <w:rFonts w:ascii="仿宋_GB2312" w:eastAsia="仿宋_GB2312" w:hAnsi="仿宋_GB2312" w:cs="仿宋_GB2312" w:hint="eastAsia"/>
                <w:color w:val="auto"/>
                <w:sz w:val="21"/>
                <w:szCs w:val="21"/>
              </w:rPr>
              <w:t>、接待、讲解服务</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接待服务及广播系统、标识导</w:t>
            </w:r>
            <w:proofErr w:type="gramStart"/>
            <w:r>
              <w:rPr>
                <w:rFonts w:ascii="仿宋_GB2312" w:eastAsia="仿宋_GB2312" w:hAnsi="仿宋_GB2312" w:cs="仿宋_GB2312" w:hint="eastAsia"/>
                <w:color w:val="auto"/>
                <w:sz w:val="21"/>
                <w:szCs w:val="21"/>
              </w:rPr>
              <w:t>览</w:t>
            </w:r>
            <w:proofErr w:type="gramEnd"/>
            <w:r>
              <w:rPr>
                <w:rFonts w:ascii="仿宋_GB2312" w:eastAsia="仿宋_GB2312" w:hAnsi="仿宋_GB2312" w:cs="仿宋_GB2312" w:hint="eastAsia"/>
                <w:color w:val="auto"/>
                <w:sz w:val="21"/>
                <w:szCs w:val="21"/>
              </w:rPr>
              <w:t>系统完善，专业讲解满足游客需求。</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资金管理</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年度资金使用计划合理，各项支出预算测算精细，账目清晰，专款专用，监管到位。</w:t>
            </w:r>
            <w:r>
              <w:rPr>
                <w:rFonts w:ascii="仿宋_GB2312" w:eastAsia="仿宋_GB2312" w:hAnsi="仿宋_GB2312" w:cs="仿宋_GB2312" w:hint="eastAsia"/>
                <w:color w:val="auto"/>
                <w:sz w:val="21"/>
                <w:szCs w:val="21"/>
              </w:rPr>
              <w:t xml:space="preserve"> </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477"/>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咨询投诉</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咨询投诉机制健全，响应及时，解决高效，“接诉即办”游客满意度高。</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477"/>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安全秩序管理</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7</w:t>
            </w:r>
            <w:r>
              <w:rPr>
                <w:rFonts w:ascii="仿宋_GB2312" w:eastAsia="仿宋_GB2312" w:hAnsi="仿宋_GB2312" w:cs="仿宋_GB2312" w:hint="eastAsia"/>
                <w:color w:val="auto"/>
                <w:sz w:val="21"/>
                <w:szCs w:val="21"/>
              </w:rPr>
              <w:t>分）</w:t>
            </w:r>
          </w:p>
        </w:tc>
        <w:tc>
          <w:tcPr>
            <w:tcW w:w="2131" w:type="dxa"/>
            <w:vMerge w:val="restart"/>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对公园安全秩序管理措施、安全运营总体情况进行评价。</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安全管理机制</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客流预警管控、防灾避险、应急保障等安全管理机制健全，责任主体明确。</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322"/>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游览秩序管理</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游览秩序安全顺畅，日常安全巡检规范到位；大型活动组织有序。</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477"/>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安全生产管理</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设施设备安全运行，文物古建安全隐患排查及日常巡检规范，食品安全管理监督到位，绿化作业人员作业环境安全。</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477"/>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安防系统及安全警示标志</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消防设备及火警监控、安防监控系统完善，消防通道畅通，危险地段安全防护设施及安全警示标志齐全，门区设有安全检查系统。</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477"/>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安保人员</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安保人员经过专业培训并持证上岗，日常巡检规范到位，能够有效协助维护安全文明游览秩序，人员数量满足安保要求。</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文化及</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科普活动</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5</w:t>
            </w:r>
            <w:r>
              <w:rPr>
                <w:rFonts w:ascii="仿宋_GB2312" w:eastAsia="仿宋_GB2312" w:hAnsi="仿宋_GB2312" w:cs="仿宋_GB2312" w:hint="eastAsia"/>
                <w:color w:val="auto"/>
                <w:sz w:val="21"/>
                <w:szCs w:val="21"/>
              </w:rPr>
              <w:t>分）</w:t>
            </w:r>
          </w:p>
        </w:tc>
        <w:tc>
          <w:tcPr>
            <w:tcW w:w="2131" w:type="dxa"/>
            <w:vMerge w:val="restart"/>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对公园文化及科普教育活动组织开展情况进行评价。</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活动策划举办</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文化科普活动组织频次及质量高，内容丰富，特色鲜明，品牌影响力高。</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宣传展示</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宣传渠道多元，方式多样；科教展示形式新颖，富有特色，主要游览区及特色植物挂牌。</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公众参与</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各类活动游客积极响应参与，有针对老人、中青年、儿童等不同群体的活动项目设置及参与平台。</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商业经营</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2</w:t>
            </w:r>
            <w:r>
              <w:rPr>
                <w:rFonts w:ascii="仿宋_GB2312" w:eastAsia="仿宋_GB2312" w:hAnsi="仿宋_GB2312" w:cs="仿宋_GB2312" w:hint="eastAsia"/>
                <w:color w:val="auto"/>
                <w:sz w:val="21"/>
                <w:szCs w:val="21"/>
              </w:rPr>
              <w:t>）</w:t>
            </w:r>
          </w:p>
        </w:tc>
        <w:tc>
          <w:tcPr>
            <w:tcW w:w="2131" w:type="dxa"/>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对公园商业服务情况进行评价。</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商业经营</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商品经营项目符合公益属性及公园功能定位，经营证件齐全，提供的各类商业服务能够满足游客需求。</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智慧科技</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应用</w:t>
            </w:r>
          </w:p>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w:t>
            </w:r>
            <w:r>
              <w:rPr>
                <w:rFonts w:ascii="仿宋_GB2312" w:eastAsia="仿宋_GB2312" w:hAnsi="仿宋_GB2312" w:cs="仿宋_GB2312" w:hint="eastAsia"/>
                <w:color w:val="auto"/>
                <w:sz w:val="21"/>
                <w:szCs w:val="21"/>
              </w:rPr>
              <w:t>4</w:t>
            </w:r>
            <w:r>
              <w:rPr>
                <w:rFonts w:ascii="仿宋_GB2312" w:eastAsia="仿宋_GB2312" w:hAnsi="仿宋_GB2312" w:cs="仿宋_GB2312" w:hint="eastAsia"/>
                <w:color w:val="auto"/>
                <w:sz w:val="21"/>
                <w:szCs w:val="21"/>
              </w:rPr>
              <w:t>）</w:t>
            </w:r>
          </w:p>
        </w:tc>
        <w:tc>
          <w:tcPr>
            <w:tcW w:w="2131" w:type="dxa"/>
            <w:vMerge w:val="restart"/>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对公园科技应用及智慧管理水平进行评价。</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科技应用水平</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绿化养护、土壤监测、生物防治、新优植物品种引种应用等科技成果应用程度高；园林作业机械化程度高。</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162"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2131"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智慧管理</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公园智慧化管理程度高，智能管理维护设施应用比例高。</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加分项（</w:t>
            </w:r>
            <w:r>
              <w:rPr>
                <w:rFonts w:ascii="仿宋_GB2312" w:eastAsia="仿宋_GB2312" w:hAnsi="仿宋_GB2312" w:cs="仿宋_GB2312" w:hint="eastAsia"/>
                <w:color w:val="auto"/>
                <w:sz w:val="21"/>
                <w:szCs w:val="21"/>
              </w:rPr>
              <w:t>10</w:t>
            </w:r>
            <w:r>
              <w:rPr>
                <w:rFonts w:ascii="仿宋_GB2312" w:eastAsia="仿宋_GB2312" w:hAnsi="仿宋_GB2312" w:cs="仿宋_GB2312" w:hint="eastAsia"/>
                <w:color w:val="auto"/>
                <w:sz w:val="21"/>
                <w:szCs w:val="21"/>
              </w:rPr>
              <w:t>）</w:t>
            </w:r>
          </w:p>
        </w:tc>
        <w:tc>
          <w:tcPr>
            <w:tcW w:w="3293" w:type="dxa"/>
            <w:gridSpan w:val="2"/>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创新管理模式（</w:t>
            </w:r>
            <w:r>
              <w:rPr>
                <w:rFonts w:ascii="仿宋_GB2312" w:eastAsia="仿宋_GB2312" w:hAnsi="仿宋_GB2312" w:cs="仿宋_GB2312" w:hint="eastAsia"/>
                <w:color w:val="auto"/>
                <w:sz w:val="21"/>
                <w:szCs w:val="21"/>
              </w:rPr>
              <w:t>4</w:t>
            </w:r>
            <w:r>
              <w:rPr>
                <w:rFonts w:ascii="仿宋_GB2312" w:eastAsia="仿宋_GB2312" w:hAnsi="仿宋_GB2312" w:cs="仿宋_GB2312" w:hint="eastAsia"/>
                <w:color w:val="auto"/>
                <w:sz w:val="21"/>
                <w:szCs w:val="21"/>
              </w:rPr>
              <w:t>）</w:t>
            </w: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志愿者服务</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常态</w:t>
            </w:r>
            <w:proofErr w:type="gramStart"/>
            <w:r>
              <w:rPr>
                <w:rFonts w:ascii="仿宋_GB2312" w:eastAsia="仿宋_GB2312" w:hAnsi="仿宋_GB2312" w:cs="仿宋_GB2312" w:hint="eastAsia"/>
                <w:color w:val="auto"/>
                <w:sz w:val="21"/>
                <w:szCs w:val="21"/>
              </w:rPr>
              <w:t>化开展</w:t>
            </w:r>
            <w:proofErr w:type="gramEnd"/>
            <w:r>
              <w:rPr>
                <w:rFonts w:ascii="仿宋_GB2312" w:eastAsia="仿宋_GB2312" w:hAnsi="仿宋_GB2312" w:cs="仿宋_GB2312" w:hint="eastAsia"/>
                <w:color w:val="auto"/>
                <w:sz w:val="21"/>
                <w:szCs w:val="21"/>
              </w:rPr>
              <w:t>志愿者服务。</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3293" w:type="dxa"/>
            <w:gridSpan w:val="2"/>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噪声控制</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设置噪声自动监测和显示设施，防止噪声污染。</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3293" w:type="dxa"/>
            <w:gridSpan w:val="2"/>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制度建设</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公园制定《游人守则》。</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3293" w:type="dxa"/>
            <w:gridSpan w:val="2"/>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共治共享</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实行市民园长制等“共治”管理模式。</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4789" w:type="dxa"/>
            <w:gridSpan w:val="3"/>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低碳节能</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2</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应用太阳能照明设施、节能节水灌溉设施、屋顶及墙面立体绿化等低碳型设施。</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398"/>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4789" w:type="dxa"/>
            <w:gridSpan w:val="3"/>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生态效益</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生物种类丰富，生态保护措施到位，生态效益突出。</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4789" w:type="dxa"/>
            <w:gridSpan w:val="3"/>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绿化废弃物资源化处理</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绿化废弃物按照就地粉碎还田、集中堆肥等方式进行减量化、资源化处置利用。</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3293" w:type="dxa"/>
            <w:gridSpan w:val="2"/>
            <w:vMerge w:val="restart"/>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持续完善提升（</w:t>
            </w:r>
            <w:r>
              <w:rPr>
                <w:rFonts w:ascii="仿宋_GB2312" w:eastAsia="仿宋_GB2312" w:hAnsi="仿宋_GB2312" w:cs="仿宋_GB2312" w:hint="eastAsia"/>
                <w:color w:val="auto"/>
                <w:sz w:val="21"/>
                <w:szCs w:val="21"/>
              </w:rPr>
              <w:t>2</w:t>
            </w:r>
            <w:r>
              <w:rPr>
                <w:rFonts w:ascii="仿宋_GB2312" w:eastAsia="仿宋_GB2312" w:hAnsi="仿宋_GB2312" w:cs="仿宋_GB2312" w:hint="eastAsia"/>
                <w:color w:val="auto"/>
                <w:sz w:val="21"/>
                <w:szCs w:val="21"/>
              </w:rPr>
              <w:t>）</w:t>
            </w:r>
          </w:p>
        </w:tc>
        <w:tc>
          <w:tcPr>
            <w:tcW w:w="1496" w:type="dxa"/>
            <w:vAlign w:val="center"/>
          </w:tcPr>
          <w:p w:rsidR="0097103A" w:rsidRDefault="000D67EA">
            <w:pPr>
              <w:widowControl w:val="0"/>
              <w:spacing w:after="0" w:line="240" w:lineRule="auto"/>
              <w:ind w:firstLine="0"/>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总体规划编制修订</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及时修订或编制公园总体规划方案，完善服务功能，满足游客需求。</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jc w:val="center"/>
        </w:trPr>
        <w:tc>
          <w:tcPr>
            <w:tcW w:w="1127" w:type="dxa"/>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3293" w:type="dxa"/>
            <w:gridSpan w:val="2"/>
            <w:vMerge/>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1496"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文</w:t>
            </w:r>
            <w:proofErr w:type="gramStart"/>
            <w:r>
              <w:rPr>
                <w:rFonts w:ascii="仿宋_GB2312" w:eastAsia="仿宋_GB2312" w:hAnsi="仿宋_GB2312" w:cs="仿宋_GB2312" w:hint="eastAsia"/>
                <w:color w:val="auto"/>
                <w:sz w:val="21"/>
                <w:szCs w:val="21"/>
              </w:rPr>
              <w:t>创产品</w:t>
            </w:r>
            <w:proofErr w:type="gramEnd"/>
            <w:r>
              <w:rPr>
                <w:rFonts w:ascii="仿宋_GB2312" w:eastAsia="仿宋_GB2312" w:hAnsi="仿宋_GB2312" w:cs="仿宋_GB2312" w:hint="eastAsia"/>
                <w:color w:val="auto"/>
                <w:sz w:val="21"/>
                <w:szCs w:val="21"/>
              </w:rPr>
              <w:t>开发</w:t>
            </w: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w:t>
            </w:r>
          </w:p>
        </w:tc>
        <w:tc>
          <w:tcPr>
            <w:tcW w:w="6572" w:type="dxa"/>
            <w:vAlign w:val="center"/>
          </w:tcPr>
          <w:p w:rsidR="0097103A" w:rsidRDefault="000D67EA">
            <w:pPr>
              <w:widowControl w:val="0"/>
              <w:spacing w:after="0" w:line="240" w:lineRule="auto"/>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开发具有文化内涵以及功能性和实用性的公园主题性文创产品，文</w:t>
            </w:r>
            <w:proofErr w:type="gramStart"/>
            <w:r>
              <w:rPr>
                <w:rFonts w:ascii="仿宋_GB2312" w:eastAsia="仿宋_GB2312" w:hAnsi="仿宋_GB2312" w:cs="仿宋_GB2312" w:hint="eastAsia"/>
                <w:color w:val="auto"/>
                <w:sz w:val="21"/>
                <w:szCs w:val="21"/>
              </w:rPr>
              <w:t>创产品</w:t>
            </w:r>
            <w:proofErr w:type="gramEnd"/>
            <w:r>
              <w:rPr>
                <w:rFonts w:ascii="仿宋_GB2312" w:eastAsia="仿宋_GB2312" w:hAnsi="仿宋_GB2312" w:cs="仿宋_GB2312" w:hint="eastAsia"/>
                <w:color w:val="auto"/>
                <w:sz w:val="21"/>
                <w:szCs w:val="21"/>
              </w:rPr>
              <w:t>经营管理工作机制健全。</w:t>
            </w: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412"/>
          <w:jc w:val="center"/>
        </w:trPr>
        <w:tc>
          <w:tcPr>
            <w:tcW w:w="1127"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合计</w:t>
            </w:r>
          </w:p>
        </w:tc>
        <w:tc>
          <w:tcPr>
            <w:tcW w:w="4789" w:type="dxa"/>
            <w:gridSpan w:val="3"/>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c>
          <w:tcPr>
            <w:tcW w:w="735"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110</w:t>
            </w:r>
          </w:p>
        </w:tc>
        <w:tc>
          <w:tcPr>
            <w:tcW w:w="6572" w:type="dxa"/>
            <w:vAlign w:val="center"/>
          </w:tcPr>
          <w:p w:rsidR="0097103A" w:rsidRDefault="0097103A">
            <w:pPr>
              <w:widowControl w:val="0"/>
              <w:spacing w:after="0" w:line="240" w:lineRule="auto"/>
              <w:ind w:firstLine="0"/>
              <w:jc w:val="both"/>
              <w:rPr>
                <w:rFonts w:ascii="仿宋_GB2312" w:eastAsia="仿宋_GB2312" w:hAnsi="仿宋_GB2312" w:cs="仿宋_GB2312"/>
                <w:color w:val="auto"/>
                <w:sz w:val="21"/>
                <w:szCs w:val="21"/>
              </w:rPr>
            </w:pPr>
          </w:p>
        </w:tc>
        <w:tc>
          <w:tcPr>
            <w:tcW w:w="714" w:type="dxa"/>
            <w:vAlign w:val="center"/>
          </w:tcPr>
          <w:p w:rsidR="0097103A" w:rsidRDefault="0097103A">
            <w:pPr>
              <w:widowControl w:val="0"/>
              <w:spacing w:after="0" w:line="240" w:lineRule="auto"/>
              <w:ind w:firstLine="0"/>
              <w:jc w:val="center"/>
              <w:rPr>
                <w:rFonts w:ascii="仿宋_GB2312" w:eastAsia="仿宋_GB2312" w:hAnsi="仿宋_GB2312" w:cs="仿宋_GB2312"/>
                <w:color w:val="auto"/>
                <w:sz w:val="21"/>
                <w:szCs w:val="21"/>
              </w:rPr>
            </w:pPr>
          </w:p>
        </w:tc>
      </w:tr>
      <w:tr w:rsidR="0097103A">
        <w:trPr>
          <w:trHeight w:val="735"/>
          <w:jc w:val="center"/>
        </w:trPr>
        <w:tc>
          <w:tcPr>
            <w:tcW w:w="1127" w:type="dxa"/>
            <w:vAlign w:val="center"/>
          </w:tcPr>
          <w:p w:rsidR="0097103A" w:rsidRDefault="000D67EA">
            <w:pPr>
              <w:widowControl w:val="0"/>
              <w:spacing w:after="0" w:line="240" w:lineRule="auto"/>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否决项</w:t>
            </w:r>
          </w:p>
        </w:tc>
        <w:tc>
          <w:tcPr>
            <w:tcW w:w="12810" w:type="dxa"/>
            <w:gridSpan w:val="6"/>
            <w:vAlign w:val="center"/>
          </w:tcPr>
          <w:p w:rsidR="0097103A" w:rsidRDefault="000D67EA">
            <w:pPr>
              <w:pStyle w:val="a6"/>
              <w:widowControl w:val="0"/>
              <w:numPr>
                <w:ilvl w:val="0"/>
                <w:numId w:val="1"/>
              </w:numPr>
              <w:spacing w:after="0" w:line="240" w:lineRule="auto"/>
              <w:ind w:firstLineChars="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发生重大安全事故；②破坏文物古迹；③破坏古树名木；④违规侵占绿地；⑤违规开垦、占用湿地或者改变湿地用途；⑥违规猎捕猎杀重点保护野生动物、采挖重点保护野生植物。</w:t>
            </w:r>
          </w:p>
        </w:tc>
      </w:tr>
      <w:bookmarkEnd w:id="2"/>
    </w:tbl>
    <w:p w:rsidR="0097103A" w:rsidRDefault="0097103A">
      <w:pPr>
        <w:spacing w:after="0" w:line="14" w:lineRule="exact"/>
        <w:ind w:firstLine="0"/>
        <w:rPr>
          <w:color w:val="auto"/>
        </w:rPr>
      </w:pPr>
    </w:p>
    <w:sectPr w:rsidR="0097103A">
      <w:footerReference w:type="even" r:id="rId9"/>
      <w:footerReference w:type="default" r:id="rId10"/>
      <w:footerReference w:type="first" r:id="rId11"/>
      <w:pgSz w:w="16838" w:h="11906" w:orient="landscape"/>
      <w:pgMar w:top="1304" w:right="1417" w:bottom="1304" w:left="1417" w:header="720" w:footer="1259" w:gutter="0"/>
      <w:cols w:space="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EA" w:rsidRDefault="000D67EA">
      <w:pPr>
        <w:spacing w:line="240" w:lineRule="auto"/>
      </w:pPr>
      <w:r>
        <w:separator/>
      </w:r>
    </w:p>
  </w:endnote>
  <w:endnote w:type="continuationSeparator" w:id="0">
    <w:p w:rsidR="000D67EA" w:rsidRDefault="000D6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embedRegular r:id="rId1" w:subsetted="1" w:fontKey="{E5E18520-31E8-46E9-B5C7-D1BD67778FFE}"/>
  </w:font>
  <w:font w:name="微软雅黑">
    <w:altName w:val="黑体"/>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2" w:subsetted="1" w:fontKey="{03B7A7CA-8113-49E2-A9AF-E1770F565D94}"/>
  </w:font>
  <w:font w:name="方正小标宋简体">
    <w:panose1 w:val="02010601030101010101"/>
    <w:charset w:val="86"/>
    <w:family w:val="auto"/>
    <w:pitch w:val="variable"/>
    <w:sig w:usb0="00000001" w:usb1="080E0000" w:usb2="00000010" w:usb3="00000000" w:csb0="00040000" w:csb1="00000000"/>
    <w:embedRegular r:id="rId3" w:subsetted="1" w:fontKey="{42AEBDFC-A897-4D68-BD0D-E0663E8A1F06}"/>
  </w:font>
  <w:font w:name="仿宋_GB2312">
    <w:panose1 w:val="02010609030101010101"/>
    <w:charset w:val="86"/>
    <w:family w:val="modern"/>
    <w:pitch w:val="fixed"/>
    <w:sig w:usb0="00000001" w:usb1="080E0000" w:usb2="00000010" w:usb3="00000000" w:csb0="00040000" w:csb1="00000000"/>
    <w:embedRegular r:id="rId4" w:subsetted="1" w:fontKey="{8FFD90FF-69B0-446F-940D-07DAAA379EC7}"/>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3A" w:rsidRDefault="000D67EA">
    <w:pPr>
      <w:spacing w:after="0" w:line="259" w:lineRule="auto"/>
      <w:ind w:right="114" w:firstLine="0"/>
      <w:jc w:val="center"/>
    </w:pPr>
    <w:r>
      <w:fldChar w:fldCharType="begin"/>
    </w:r>
    <w:r>
      <w:instrText xml:space="preserve"> PAGE   \* MERGEFORMAT </w:instrText>
    </w:r>
    <w:r>
      <w:fldChar w:fldCharType="separate"/>
    </w:r>
    <w:r>
      <w:rPr>
        <w:rFonts w:ascii="等线" w:eastAsia="等线" w:hAnsi="等线" w:cs="等线"/>
        <w:sz w:val="18"/>
      </w:rPr>
      <w:t>9</w:t>
    </w:r>
    <w:r>
      <w:rPr>
        <w:rFonts w:ascii="等线" w:eastAsia="等线" w:hAnsi="等线" w:cs="等线"/>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3A" w:rsidRDefault="000D67EA">
    <w:pPr>
      <w:spacing w:after="0" w:line="259" w:lineRule="auto"/>
      <w:ind w:right="114" w:firstLine="0"/>
      <w:jc w:val="center"/>
    </w:pPr>
    <w:r>
      <w:fldChar w:fldCharType="begin"/>
    </w:r>
    <w:r>
      <w:instrText xml:space="preserve"> PAGE   \* MERGEFORMAT </w:instrText>
    </w:r>
    <w:r>
      <w:fldChar w:fldCharType="separate"/>
    </w:r>
    <w:r w:rsidR="00BF681F" w:rsidRPr="00BF681F">
      <w:rPr>
        <w:rFonts w:ascii="等线" w:eastAsia="等线" w:hAnsi="等线" w:cs="等线"/>
        <w:noProof/>
        <w:sz w:val="18"/>
      </w:rPr>
      <w:t>1</w:t>
    </w:r>
    <w:r>
      <w:rPr>
        <w:rFonts w:ascii="等线" w:eastAsia="等线" w:hAnsi="等线" w:cs="等线"/>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3A" w:rsidRDefault="000D67EA">
    <w:pPr>
      <w:spacing w:after="0" w:line="259" w:lineRule="auto"/>
      <w:ind w:right="114" w:firstLine="0"/>
      <w:jc w:val="center"/>
    </w:pPr>
    <w:r>
      <w:fldChar w:fldCharType="begin"/>
    </w:r>
    <w:r>
      <w:instrText xml:space="preserve"> PAGE   \* MERGEFORMAT </w:instrText>
    </w:r>
    <w:r>
      <w:fldChar w:fldCharType="separate"/>
    </w:r>
    <w:r>
      <w:rPr>
        <w:rFonts w:ascii="等线" w:eastAsia="等线" w:hAnsi="等线" w:cs="等线"/>
        <w:sz w:val="18"/>
      </w:rPr>
      <w:t>9</w:t>
    </w:r>
    <w:r>
      <w:rPr>
        <w:rFonts w:ascii="等线" w:eastAsia="等线" w:hAnsi="等线" w:cs="等线"/>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EA" w:rsidRDefault="000D67EA">
      <w:pPr>
        <w:spacing w:line="240" w:lineRule="auto"/>
      </w:pPr>
      <w:r>
        <w:separator/>
      </w:r>
    </w:p>
  </w:footnote>
  <w:footnote w:type="continuationSeparator" w:id="0">
    <w:p w:rsidR="000D67EA" w:rsidRDefault="000D67E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01A8"/>
    <w:multiLevelType w:val="multilevel"/>
    <w:tmpl w:val="194701A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defaultTabStop w:val="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N2UzMzU0MWNhMTYwYmNiMTljZmViMmFmM2RmYTkifQ=="/>
  </w:docVars>
  <w:rsids>
    <w:rsidRoot w:val="00F53A69"/>
    <w:rsid w:val="9BCBEACD"/>
    <w:rsid w:val="9F6F48AC"/>
    <w:rsid w:val="A1D73DE6"/>
    <w:rsid w:val="ADDF0154"/>
    <w:rsid w:val="AFFF4561"/>
    <w:rsid w:val="B74FA815"/>
    <w:rsid w:val="B8A75085"/>
    <w:rsid w:val="BBA7EDE6"/>
    <w:rsid w:val="BEDE4594"/>
    <w:rsid w:val="BF7D729D"/>
    <w:rsid w:val="C5D7FCCC"/>
    <w:rsid w:val="C5F355EA"/>
    <w:rsid w:val="C77EAF3A"/>
    <w:rsid w:val="CFDFC47F"/>
    <w:rsid w:val="DB7EBE5C"/>
    <w:rsid w:val="DB7F70E7"/>
    <w:rsid w:val="EBFFD74A"/>
    <w:rsid w:val="F6EEA1B9"/>
    <w:rsid w:val="F7AA898D"/>
    <w:rsid w:val="F7D5D59C"/>
    <w:rsid w:val="F9FF18E5"/>
    <w:rsid w:val="FCFF5774"/>
    <w:rsid w:val="FE78FC61"/>
    <w:rsid w:val="FEF239C4"/>
    <w:rsid w:val="00022E1A"/>
    <w:rsid w:val="00025259"/>
    <w:rsid w:val="00031085"/>
    <w:rsid w:val="00040230"/>
    <w:rsid w:val="00056BC0"/>
    <w:rsid w:val="000628FF"/>
    <w:rsid w:val="0006450D"/>
    <w:rsid w:val="000706D6"/>
    <w:rsid w:val="0007329E"/>
    <w:rsid w:val="0008255F"/>
    <w:rsid w:val="00087728"/>
    <w:rsid w:val="00087BF4"/>
    <w:rsid w:val="00095384"/>
    <w:rsid w:val="000A0A92"/>
    <w:rsid w:val="000A4B06"/>
    <w:rsid w:val="000D266B"/>
    <w:rsid w:val="000D51B8"/>
    <w:rsid w:val="000D67EA"/>
    <w:rsid w:val="000D71A0"/>
    <w:rsid w:val="000F3E30"/>
    <w:rsid w:val="000F6547"/>
    <w:rsid w:val="00100175"/>
    <w:rsid w:val="00115570"/>
    <w:rsid w:val="00124DC4"/>
    <w:rsid w:val="00125080"/>
    <w:rsid w:val="00134C4E"/>
    <w:rsid w:val="0014046D"/>
    <w:rsid w:val="00144B63"/>
    <w:rsid w:val="00146ED0"/>
    <w:rsid w:val="00152F01"/>
    <w:rsid w:val="00163A37"/>
    <w:rsid w:val="0017119F"/>
    <w:rsid w:val="00176D61"/>
    <w:rsid w:val="00177005"/>
    <w:rsid w:val="0018327A"/>
    <w:rsid w:val="0019062E"/>
    <w:rsid w:val="00193F21"/>
    <w:rsid w:val="001B2C28"/>
    <w:rsid w:val="001B6DC5"/>
    <w:rsid w:val="001C732D"/>
    <w:rsid w:val="001D1088"/>
    <w:rsid w:val="001D7D6D"/>
    <w:rsid w:val="001E64A2"/>
    <w:rsid w:val="00205885"/>
    <w:rsid w:val="002135FD"/>
    <w:rsid w:val="002174FA"/>
    <w:rsid w:val="00242921"/>
    <w:rsid w:val="0024370F"/>
    <w:rsid w:val="0024467E"/>
    <w:rsid w:val="0025057E"/>
    <w:rsid w:val="00250853"/>
    <w:rsid w:val="00250F9D"/>
    <w:rsid w:val="002618E5"/>
    <w:rsid w:val="002621A4"/>
    <w:rsid w:val="00266CAC"/>
    <w:rsid w:val="00272618"/>
    <w:rsid w:val="00276342"/>
    <w:rsid w:val="0028584F"/>
    <w:rsid w:val="002900B8"/>
    <w:rsid w:val="002B3D58"/>
    <w:rsid w:val="002B7DB9"/>
    <w:rsid w:val="002C20E8"/>
    <w:rsid w:val="002C7180"/>
    <w:rsid w:val="002D08E6"/>
    <w:rsid w:val="002E33F1"/>
    <w:rsid w:val="002E585F"/>
    <w:rsid w:val="002F5F39"/>
    <w:rsid w:val="003071EB"/>
    <w:rsid w:val="00307505"/>
    <w:rsid w:val="00312188"/>
    <w:rsid w:val="00313C52"/>
    <w:rsid w:val="0033169E"/>
    <w:rsid w:val="0033170C"/>
    <w:rsid w:val="003355E5"/>
    <w:rsid w:val="003362AE"/>
    <w:rsid w:val="00336BA9"/>
    <w:rsid w:val="003452EC"/>
    <w:rsid w:val="00345D21"/>
    <w:rsid w:val="00345E2B"/>
    <w:rsid w:val="00345FD9"/>
    <w:rsid w:val="0034631D"/>
    <w:rsid w:val="00360C4D"/>
    <w:rsid w:val="00361982"/>
    <w:rsid w:val="00364DB1"/>
    <w:rsid w:val="0037183C"/>
    <w:rsid w:val="00376C9C"/>
    <w:rsid w:val="00385FA3"/>
    <w:rsid w:val="003946F8"/>
    <w:rsid w:val="003A46F6"/>
    <w:rsid w:val="003C2BD3"/>
    <w:rsid w:val="003D0703"/>
    <w:rsid w:val="003D2825"/>
    <w:rsid w:val="003E70F3"/>
    <w:rsid w:val="003F715C"/>
    <w:rsid w:val="00401A05"/>
    <w:rsid w:val="0042314D"/>
    <w:rsid w:val="00434E4D"/>
    <w:rsid w:val="00453190"/>
    <w:rsid w:val="0046676A"/>
    <w:rsid w:val="00482C25"/>
    <w:rsid w:val="00486CF4"/>
    <w:rsid w:val="00491420"/>
    <w:rsid w:val="004B2550"/>
    <w:rsid w:val="004B261E"/>
    <w:rsid w:val="004B3B8E"/>
    <w:rsid w:val="004C43D9"/>
    <w:rsid w:val="004C470B"/>
    <w:rsid w:val="004E584D"/>
    <w:rsid w:val="004F6C70"/>
    <w:rsid w:val="005076D8"/>
    <w:rsid w:val="0051027B"/>
    <w:rsid w:val="00512C41"/>
    <w:rsid w:val="00521D68"/>
    <w:rsid w:val="00530A96"/>
    <w:rsid w:val="00553DED"/>
    <w:rsid w:val="00564048"/>
    <w:rsid w:val="00566E39"/>
    <w:rsid w:val="005673C0"/>
    <w:rsid w:val="00581AC3"/>
    <w:rsid w:val="005827C6"/>
    <w:rsid w:val="00587CAD"/>
    <w:rsid w:val="0059299D"/>
    <w:rsid w:val="005A060D"/>
    <w:rsid w:val="005A44D1"/>
    <w:rsid w:val="005A6237"/>
    <w:rsid w:val="005B0966"/>
    <w:rsid w:val="005C40B8"/>
    <w:rsid w:val="005C529A"/>
    <w:rsid w:val="005D6B85"/>
    <w:rsid w:val="005E2D0E"/>
    <w:rsid w:val="005F0FAE"/>
    <w:rsid w:val="005F1DF8"/>
    <w:rsid w:val="00606E98"/>
    <w:rsid w:val="00613083"/>
    <w:rsid w:val="006140C2"/>
    <w:rsid w:val="00622F3C"/>
    <w:rsid w:val="00626DB8"/>
    <w:rsid w:val="006300DF"/>
    <w:rsid w:val="00631C7B"/>
    <w:rsid w:val="0063290F"/>
    <w:rsid w:val="00642F04"/>
    <w:rsid w:val="006453B2"/>
    <w:rsid w:val="00651E13"/>
    <w:rsid w:val="00666AD7"/>
    <w:rsid w:val="00672872"/>
    <w:rsid w:val="00674D0A"/>
    <w:rsid w:val="0067573A"/>
    <w:rsid w:val="00683833"/>
    <w:rsid w:val="00684BB9"/>
    <w:rsid w:val="00684BC7"/>
    <w:rsid w:val="0068568D"/>
    <w:rsid w:val="00693B37"/>
    <w:rsid w:val="00693F76"/>
    <w:rsid w:val="006952C6"/>
    <w:rsid w:val="006A4494"/>
    <w:rsid w:val="006A6BF8"/>
    <w:rsid w:val="006B0296"/>
    <w:rsid w:val="006B04BE"/>
    <w:rsid w:val="006B490D"/>
    <w:rsid w:val="006B5170"/>
    <w:rsid w:val="006C79F1"/>
    <w:rsid w:val="006D5489"/>
    <w:rsid w:val="006E603D"/>
    <w:rsid w:val="006F5CD7"/>
    <w:rsid w:val="00704B25"/>
    <w:rsid w:val="00711BCE"/>
    <w:rsid w:val="0071231E"/>
    <w:rsid w:val="0072686A"/>
    <w:rsid w:val="007345FA"/>
    <w:rsid w:val="00754E5A"/>
    <w:rsid w:val="00773465"/>
    <w:rsid w:val="00785D37"/>
    <w:rsid w:val="00787F5E"/>
    <w:rsid w:val="00795878"/>
    <w:rsid w:val="007A5F2C"/>
    <w:rsid w:val="007C331C"/>
    <w:rsid w:val="007C6E5F"/>
    <w:rsid w:val="007E001E"/>
    <w:rsid w:val="007F5F81"/>
    <w:rsid w:val="00803BD3"/>
    <w:rsid w:val="00806CBC"/>
    <w:rsid w:val="00821AB1"/>
    <w:rsid w:val="00821B20"/>
    <w:rsid w:val="00822D2E"/>
    <w:rsid w:val="008243A4"/>
    <w:rsid w:val="008305EF"/>
    <w:rsid w:val="00836C71"/>
    <w:rsid w:val="00841012"/>
    <w:rsid w:val="00843C79"/>
    <w:rsid w:val="00845BC8"/>
    <w:rsid w:val="00845E04"/>
    <w:rsid w:val="00864AF8"/>
    <w:rsid w:val="008660C6"/>
    <w:rsid w:val="00871A4A"/>
    <w:rsid w:val="00876038"/>
    <w:rsid w:val="00880B7A"/>
    <w:rsid w:val="00887DCB"/>
    <w:rsid w:val="008A0567"/>
    <w:rsid w:val="008A2C8B"/>
    <w:rsid w:val="008A4830"/>
    <w:rsid w:val="008C0447"/>
    <w:rsid w:val="008C0A3F"/>
    <w:rsid w:val="008C3800"/>
    <w:rsid w:val="008D3F7F"/>
    <w:rsid w:val="008E2893"/>
    <w:rsid w:val="008E558D"/>
    <w:rsid w:val="00906047"/>
    <w:rsid w:val="00906B5A"/>
    <w:rsid w:val="00907E3E"/>
    <w:rsid w:val="00910274"/>
    <w:rsid w:val="00912F23"/>
    <w:rsid w:val="009173AE"/>
    <w:rsid w:val="00921D65"/>
    <w:rsid w:val="00922BAE"/>
    <w:rsid w:val="009423C0"/>
    <w:rsid w:val="00962422"/>
    <w:rsid w:val="0097103A"/>
    <w:rsid w:val="009711CD"/>
    <w:rsid w:val="009A5AC2"/>
    <w:rsid w:val="009A6816"/>
    <w:rsid w:val="009B0072"/>
    <w:rsid w:val="009B01C7"/>
    <w:rsid w:val="009B33A1"/>
    <w:rsid w:val="009B6151"/>
    <w:rsid w:val="009C4227"/>
    <w:rsid w:val="009C709A"/>
    <w:rsid w:val="009D2C4D"/>
    <w:rsid w:val="009E139C"/>
    <w:rsid w:val="009E34F2"/>
    <w:rsid w:val="009F19E5"/>
    <w:rsid w:val="009F642C"/>
    <w:rsid w:val="009F6A44"/>
    <w:rsid w:val="00A078BD"/>
    <w:rsid w:val="00A17795"/>
    <w:rsid w:val="00A23971"/>
    <w:rsid w:val="00A24E59"/>
    <w:rsid w:val="00A33500"/>
    <w:rsid w:val="00A349ED"/>
    <w:rsid w:val="00A35B04"/>
    <w:rsid w:val="00A35E2B"/>
    <w:rsid w:val="00A40EFA"/>
    <w:rsid w:val="00A45944"/>
    <w:rsid w:val="00A60587"/>
    <w:rsid w:val="00A619BE"/>
    <w:rsid w:val="00A6294F"/>
    <w:rsid w:val="00A65A88"/>
    <w:rsid w:val="00A81399"/>
    <w:rsid w:val="00A81B39"/>
    <w:rsid w:val="00A96655"/>
    <w:rsid w:val="00AA07CE"/>
    <w:rsid w:val="00AC544A"/>
    <w:rsid w:val="00AC5AF6"/>
    <w:rsid w:val="00AD695E"/>
    <w:rsid w:val="00AE091F"/>
    <w:rsid w:val="00AE69E0"/>
    <w:rsid w:val="00AF350D"/>
    <w:rsid w:val="00AF473C"/>
    <w:rsid w:val="00AF76F6"/>
    <w:rsid w:val="00B07BD4"/>
    <w:rsid w:val="00B11911"/>
    <w:rsid w:val="00B13966"/>
    <w:rsid w:val="00B20DFF"/>
    <w:rsid w:val="00B348E6"/>
    <w:rsid w:val="00B37BFA"/>
    <w:rsid w:val="00B544FB"/>
    <w:rsid w:val="00B57423"/>
    <w:rsid w:val="00B57E34"/>
    <w:rsid w:val="00B63145"/>
    <w:rsid w:val="00B66FAC"/>
    <w:rsid w:val="00B74035"/>
    <w:rsid w:val="00B93A5C"/>
    <w:rsid w:val="00BA2E55"/>
    <w:rsid w:val="00BA69AC"/>
    <w:rsid w:val="00BB07DC"/>
    <w:rsid w:val="00BC732F"/>
    <w:rsid w:val="00BE3B02"/>
    <w:rsid w:val="00BE3E1E"/>
    <w:rsid w:val="00BE410D"/>
    <w:rsid w:val="00BF03D4"/>
    <w:rsid w:val="00BF4779"/>
    <w:rsid w:val="00BF681F"/>
    <w:rsid w:val="00C01102"/>
    <w:rsid w:val="00C2685F"/>
    <w:rsid w:val="00C326D9"/>
    <w:rsid w:val="00C33716"/>
    <w:rsid w:val="00C33979"/>
    <w:rsid w:val="00C43929"/>
    <w:rsid w:val="00C452C0"/>
    <w:rsid w:val="00C512B8"/>
    <w:rsid w:val="00C55027"/>
    <w:rsid w:val="00C621F7"/>
    <w:rsid w:val="00C7077F"/>
    <w:rsid w:val="00C74405"/>
    <w:rsid w:val="00C7777C"/>
    <w:rsid w:val="00C966F3"/>
    <w:rsid w:val="00CB5718"/>
    <w:rsid w:val="00CB655F"/>
    <w:rsid w:val="00CC3530"/>
    <w:rsid w:val="00CD09B5"/>
    <w:rsid w:val="00CD1D4F"/>
    <w:rsid w:val="00CE0554"/>
    <w:rsid w:val="00CE226D"/>
    <w:rsid w:val="00CE65FA"/>
    <w:rsid w:val="00CF7378"/>
    <w:rsid w:val="00D0626D"/>
    <w:rsid w:val="00D07E37"/>
    <w:rsid w:val="00D114FE"/>
    <w:rsid w:val="00D12FA7"/>
    <w:rsid w:val="00D62C78"/>
    <w:rsid w:val="00D659EC"/>
    <w:rsid w:val="00D72B9F"/>
    <w:rsid w:val="00D75B0F"/>
    <w:rsid w:val="00D81C83"/>
    <w:rsid w:val="00D85C12"/>
    <w:rsid w:val="00D87210"/>
    <w:rsid w:val="00D95B6F"/>
    <w:rsid w:val="00D97F0C"/>
    <w:rsid w:val="00DA53FC"/>
    <w:rsid w:val="00DA5BCE"/>
    <w:rsid w:val="00DB0928"/>
    <w:rsid w:val="00DB4F4F"/>
    <w:rsid w:val="00DD5006"/>
    <w:rsid w:val="00DD58A7"/>
    <w:rsid w:val="00DE47E5"/>
    <w:rsid w:val="00DF01B9"/>
    <w:rsid w:val="00DF2CC2"/>
    <w:rsid w:val="00DF36C7"/>
    <w:rsid w:val="00DF460C"/>
    <w:rsid w:val="00E01C54"/>
    <w:rsid w:val="00E03886"/>
    <w:rsid w:val="00E05550"/>
    <w:rsid w:val="00E05C78"/>
    <w:rsid w:val="00E12F34"/>
    <w:rsid w:val="00E15556"/>
    <w:rsid w:val="00E15652"/>
    <w:rsid w:val="00E24D25"/>
    <w:rsid w:val="00E32D0D"/>
    <w:rsid w:val="00E4402C"/>
    <w:rsid w:val="00E50A90"/>
    <w:rsid w:val="00E542C6"/>
    <w:rsid w:val="00E62B5D"/>
    <w:rsid w:val="00E738A2"/>
    <w:rsid w:val="00E7629D"/>
    <w:rsid w:val="00E861AB"/>
    <w:rsid w:val="00E91499"/>
    <w:rsid w:val="00EA3E58"/>
    <w:rsid w:val="00EB45DC"/>
    <w:rsid w:val="00ED4916"/>
    <w:rsid w:val="00ED60ED"/>
    <w:rsid w:val="00ED660F"/>
    <w:rsid w:val="00ED6F62"/>
    <w:rsid w:val="00EE1F9A"/>
    <w:rsid w:val="00EF65BF"/>
    <w:rsid w:val="00F0222A"/>
    <w:rsid w:val="00F202EE"/>
    <w:rsid w:val="00F32168"/>
    <w:rsid w:val="00F443B7"/>
    <w:rsid w:val="00F53A69"/>
    <w:rsid w:val="00F578EF"/>
    <w:rsid w:val="00F60C82"/>
    <w:rsid w:val="00F73099"/>
    <w:rsid w:val="00F763AC"/>
    <w:rsid w:val="00F84A7C"/>
    <w:rsid w:val="00F854C9"/>
    <w:rsid w:val="00F918DF"/>
    <w:rsid w:val="00F93085"/>
    <w:rsid w:val="00F97739"/>
    <w:rsid w:val="00FA0146"/>
    <w:rsid w:val="00FA215D"/>
    <w:rsid w:val="00FA3949"/>
    <w:rsid w:val="00FA5769"/>
    <w:rsid w:val="00FA6C8F"/>
    <w:rsid w:val="00FA732C"/>
    <w:rsid w:val="00FB4F71"/>
    <w:rsid w:val="00FB6B21"/>
    <w:rsid w:val="00FC3D54"/>
    <w:rsid w:val="00FC6270"/>
    <w:rsid w:val="00FD22AD"/>
    <w:rsid w:val="00FD2E54"/>
    <w:rsid w:val="00FE1850"/>
    <w:rsid w:val="00FE4AB2"/>
    <w:rsid w:val="00FF5587"/>
    <w:rsid w:val="00FF5B0A"/>
    <w:rsid w:val="01BC0C1A"/>
    <w:rsid w:val="050C147B"/>
    <w:rsid w:val="055F31D3"/>
    <w:rsid w:val="064E336B"/>
    <w:rsid w:val="06A50BF6"/>
    <w:rsid w:val="0EE0240B"/>
    <w:rsid w:val="12A871B3"/>
    <w:rsid w:val="18C17ACF"/>
    <w:rsid w:val="1B4937CB"/>
    <w:rsid w:val="22B10CA6"/>
    <w:rsid w:val="252F5045"/>
    <w:rsid w:val="26572104"/>
    <w:rsid w:val="267F67D1"/>
    <w:rsid w:val="2A094D30"/>
    <w:rsid w:val="2F7B0792"/>
    <w:rsid w:val="2FF8FB68"/>
    <w:rsid w:val="32294D0B"/>
    <w:rsid w:val="3399322C"/>
    <w:rsid w:val="35BABCFE"/>
    <w:rsid w:val="367A269F"/>
    <w:rsid w:val="37DF52B4"/>
    <w:rsid w:val="39F03E91"/>
    <w:rsid w:val="3A237EE9"/>
    <w:rsid w:val="3BA40F08"/>
    <w:rsid w:val="3BAFF170"/>
    <w:rsid w:val="3BEF604D"/>
    <w:rsid w:val="3FDC1E13"/>
    <w:rsid w:val="3FFFBD1B"/>
    <w:rsid w:val="41BF2602"/>
    <w:rsid w:val="45DA01B3"/>
    <w:rsid w:val="45EBEFEC"/>
    <w:rsid w:val="47DB1E93"/>
    <w:rsid w:val="48A5479A"/>
    <w:rsid w:val="4E861D84"/>
    <w:rsid w:val="54A2071D"/>
    <w:rsid w:val="5B9B6085"/>
    <w:rsid w:val="5CDD759E"/>
    <w:rsid w:val="5E7EF98C"/>
    <w:rsid w:val="5EFBC28B"/>
    <w:rsid w:val="5FBADEC0"/>
    <w:rsid w:val="5FE91A64"/>
    <w:rsid w:val="6057789C"/>
    <w:rsid w:val="65F313B3"/>
    <w:rsid w:val="6BEB1843"/>
    <w:rsid w:val="6EF90376"/>
    <w:rsid w:val="6F5F6DB9"/>
    <w:rsid w:val="6FFD5F81"/>
    <w:rsid w:val="6FFF9AB1"/>
    <w:rsid w:val="7133451D"/>
    <w:rsid w:val="733815EC"/>
    <w:rsid w:val="74694DAC"/>
    <w:rsid w:val="753F08FB"/>
    <w:rsid w:val="759B0190"/>
    <w:rsid w:val="76F90EEF"/>
    <w:rsid w:val="7A8F67EF"/>
    <w:rsid w:val="7D77E235"/>
    <w:rsid w:val="7F9E8DE8"/>
    <w:rsid w:val="7FD2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333" w:lineRule="auto"/>
      <w:ind w:firstLine="631"/>
    </w:pPr>
    <w:rPr>
      <w:rFonts w:ascii="仿宋" w:eastAsia="仿宋" w:hAnsi="仿宋" w:cs="仿宋"/>
      <w:color w:val="000000"/>
      <w:kern w:val="2"/>
      <w:sz w:val="32"/>
      <w:szCs w:val="22"/>
    </w:rPr>
  </w:style>
  <w:style w:type="paragraph" w:styleId="1">
    <w:name w:val="heading 1"/>
    <w:next w:val="a"/>
    <w:link w:val="1Char"/>
    <w:uiPriority w:val="9"/>
    <w:qFormat/>
    <w:pPr>
      <w:keepNext/>
      <w:keepLines/>
      <w:spacing w:line="259" w:lineRule="auto"/>
      <w:ind w:left="804" w:hanging="10"/>
      <w:outlineLvl w:val="0"/>
    </w:pPr>
    <w:rPr>
      <w:rFonts w:ascii="微软雅黑" w:eastAsia="微软雅黑" w:hAnsi="微软雅黑" w:cs="微软雅黑"/>
      <w:color w:val="000000"/>
      <w:kern w:val="2"/>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spacing w:after="0" w:line="240" w:lineRule="auto"/>
      <w:ind w:firstLine="0"/>
    </w:pPr>
    <w:rPr>
      <w:rFonts w:asciiTheme="minorHAnsi" w:eastAsiaTheme="minorEastAsia" w:hAnsiTheme="minorHAnsi" w:cs="Times New Roman"/>
      <w:color w:val="auto"/>
      <w:kern w:val="0"/>
      <w:sz w:val="22"/>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微软雅黑" w:eastAsia="微软雅黑" w:hAnsi="微软雅黑" w:cs="微软雅黑"/>
      <w:color w:val="000000"/>
      <w:sz w:val="44"/>
    </w:rPr>
  </w:style>
  <w:style w:type="table" w:customStyle="1" w:styleId="TableGrid">
    <w:name w:val="TableGrid"/>
    <w:qFormat/>
    <w:tblPr>
      <w:tblCellMar>
        <w:top w:w="0" w:type="dxa"/>
        <w:left w:w="0" w:type="dxa"/>
        <w:bottom w:w="0" w:type="dxa"/>
        <w:right w:w="0" w:type="dxa"/>
      </w:tblCellMar>
    </w:tblPr>
  </w:style>
  <w:style w:type="character" w:customStyle="1" w:styleId="Char0">
    <w:name w:val="页眉 Char"/>
    <w:basedOn w:val="a0"/>
    <w:link w:val="a4"/>
    <w:uiPriority w:val="99"/>
    <w:qFormat/>
    <w:rPr>
      <w:rFonts w:ascii="仿宋" w:eastAsia="仿宋" w:hAnsi="仿宋" w:cs="仿宋"/>
      <w:color w:val="000000"/>
      <w:sz w:val="18"/>
      <w:szCs w:val="18"/>
    </w:rPr>
  </w:style>
  <w:style w:type="table" w:customStyle="1" w:styleId="10">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修订1"/>
    <w:hidden/>
    <w:uiPriority w:val="99"/>
    <w:semiHidden/>
    <w:qFormat/>
    <w:rPr>
      <w:rFonts w:ascii="仿宋" w:eastAsia="仿宋" w:hAnsi="仿宋" w:cs="仿宋"/>
      <w:color w:val="000000"/>
      <w:kern w:val="2"/>
      <w:sz w:val="32"/>
      <w:szCs w:val="22"/>
    </w:rPr>
  </w:style>
  <w:style w:type="paragraph" w:styleId="a6">
    <w:name w:val="List Paragraph"/>
    <w:basedOn w:val="a"/>
    <w:uiPriority w:val="34"/>
    <w:qFormat/>
    <w:pPr>
      <w:ind w:firstLineChars="200" w:firstLine="420"/>
    </w:pPr>
  </w:style>
  <w:style w:type="character" w:customStyle="1" w:styleId="Char">
    <w:name w:val="页脚 Char"/>
    <w:basedOn w:val="a0"/>
    <w:link w:val="a3"/>
    <w:uiPriority w:val="99"/>
    <w:qFormat/>
    <w:rPr>
      <w:rFonts w:cs="Times New Roman"/>
      <w:kern w:val="0"/>
      <w:sz w:val="22"/>
    </w:rPr>
  </w:style>
  <w:style w:type="character" w:customStyle="1" w:styleId="Char1">
    <w:name w:val="段 Char"/>
    <w:link w:val="a7"/>
    <w:qFormat/>
    <w:rPr>
      <w:rFonts w:ascii="宋体"/>
    </w:rPr>
  </w:style>
  <w:style w:type="paragraph" w:customStyle="1" w:styleId="a7">
    <w:name w:val="段"/>
    <w:link w:val="Char1"/>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333" w:lineRule="auto"/>
      <w:ind w:firstLine="631"/>
    </w:pPr>
    <w:rPr>
      <w:rFonts w:ascii="仿宋" w:eastAsia="仿宋" w:hAnsi="仿宋" w:cs="仿宋"/>
      <w:color w:val="000000"/>
      <w:kern w:val="2"/>
      <w:sz w:val="32"/>
      <w:szCs w:val="22"/>
    </w:rPr>
  </w:style>
  <w:style w:type="paragraph" w:styleId="1">
    <w:name w:val="heading 1"/>
    <w:next w:val="a"/>
    <w:link w:val="1Char"/>
    <w:uiPriority w:val="9"/>
    <w:qFormat/>
    <w:pPr>
      <w:keepNext/>
      <w:keepLines/>
      <w:spacing w:line="259" w:lineRule="auto"/>
      <w:ind w:left="804" w:hanging="10"/>
      <w:outlineLvl w:val="0"/>
    </w:pPr>
    <w:rPr>
      <w:rFonts w:ascii="微软雅黑" w:eastAsia="微软雅黑" w:hAnsi="微软雅黑" w:cs="微软雅黑"/>
      <w:color w:val="000000"/>
      <w:kern w:val="2"/>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spacing w:after="0" w:line="240" w:lineRule="auto"/>
      <w:ind w:firstLine="0"/>
    </w:pPr>
    <w:rPr>
      <w:rFonts w:asciiTheme="minorHAnsi" w:eastAsiaTheme="minorEastAsia" w:hAnsiTheme="minorHAnsi" w:cs="Times New Roman"/>
      <w:color w:val="auto"/>
      <w:kern w:val="0"/>
      <w:sz w:val="22"/>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微软雅黑" w:eastAsia="微软雅黑" w:hAnsi="微软雅黑" w:cs="微软雅黑"/>
      <w:color w:val="000000"/>
      <w:sz w:val="44"/>
    </w:rPr>
  </w:style>
  <w:style w:type="table" w:customStyle="1" w:styleId="TableGrid">
    <w:name w:val="TableGrid"/>
    <w:qFormat/>
    <w:tblPr>
      <w:tblCellMar>
        <w:top w:w="0" w:type="dxa"/>
        <w:left w:w="0" w:type="dxa"/>
        <w:bottom w:w="0" w:type="dxa"/>
        <w:right w:w="0" w:type="dxa"/>
      </w:tblCellMar>
    </w:tblPr>
  </w:style>
  <w:style w:type="character" w:customStyle="1" w:styleId="Char0">
    <w:name w:val="页眉 Char"/>
    <w:basedOn w:val="a0"/>
    <w:link w:val="a4"/>
    <w:uiPriority w:val="99"/>
    <w:qFormat/>
    <w:rPr>
      <w:rFonts w:ascii="仿宋" w:eastAsia="仿宋" w:hAnsi="仿宋" w:cs="仿宋"/>
      <w:color w:val="000000"/>
      <w:sz w:val="18"/>
      <w:szCs w:val="18"/>
    </w:rPr>
  </w:style>
  <w:style w:type="table" w:customStyle="1" w:styleId="10">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修订1"/>
    <w:hidden/>
    <w:uiPriority w:val="99"/>
    <w:semiHidden/>
    <w:qFormat/>
    <w:rPr>
      <w:rFonts w:ascii="仿宋" w:eastAsia="仿宋" w:hAnsi="仿宋" w:cs="仿宋"/>
      <w:color w:val="000000"/>
      <w:kern w:val="2"/>
      <w:sz w:val="32"/>
      <w:szCs w:val="22"/>
    </w:rPr>
  </w:style>
  <w:style w:type="paragraph" w:styleId="a6">
    <w:name w:val="List Paragraph"/>
    <w:basedOn w:val="a"/>
    <w:uiPriority w:val="34"/>
    <w:qFormat/>
    <w:pPr>
      <w:ind w:firstLineChars="200" w:firstLine="420"/>
    </w:pPr>
  </w:style>
  <w:style w:type="character" w:customStyle="1" w:styleId="Char">
    <w:name w:val="页脚 Char"/>
    <w:basedOn w:val="a0"/>
    <w:link w:val="a3"/>
    <w:uiPriority w:val="99"/>
    <w:qFormat/>
    <w:rPr>
      <w:rFonts w:cs="Times New Roman"/>
      <w:kern w:val="0"/>
      <w:sz w:val="22"/>
    </w:rPr>
  </w:style>
  <w:style w:type="character" w:customStyle="1" w:styleId="Char1">
    <w:name w:val="段 Char"/>
    <w:link w:val="a7"/>
    <w:qFormat/>
    <w:rPr>
      <w:rFonts w:ascii="宋体"/>
    </w:rPr>
  </w:style>
  <w:style w:type="paragraph" w:customStyle="1" w:styleId="a7">
    <w:name w:val="段"/>
    <w:link w:val="Char1"/>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ge_66@163.com</dc:creator>
  <cp:lastModifiedBy>刘静</cp:lastModifiedBy>
  <cp:revision>2</cp:revision>
  <cp:lastPrinted>2022-05-28T16:40:00Z</cp:lastPrinted>
  <dcterms:created xsi:type="dcterms:W3CDTF">2022-06-17T08:20:00Z</dcterms:created>
  <dcterms:modified xsi:type="dcterms:W3CDTF">2022-06-17T08:20:00Z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A3FFF813BEAD43BBB722992F9C81FA69</vt:lpwstr>
  </property>
</Properties>
</file>