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</w:t>
      </w:r>
      <w:r>
        <w:rPr>
          <w:rFonts w:hint="default" w:ascii="CESI黑体-GB2312" w:hAnsi="CESI黑体-GB2312" w:eastAsia="CESI黑体-GB2312" w:cs="CESI黑体-GB2312"/>
          <w:bCs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北京市房地产开发企业资质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告知承诺审批一次性告知书</w:t>
      </w:r>
    </w:p>
    <w:bookmarkEnd w:id="0"/>
    <w:p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一、实施范围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对在本市范围内注册的房地产开发企业，申请办理房地产开发企业二级资质核定业务可实行告知承诺审批，开发企业可自愿选择是否采用告知承诺审批方式。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二、审批依据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1.《国务院关于深化“证照分离”改革进一步激发市场主体发展活力的通知》（国发〔2021〕7号）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2.《住房和城乡建设部关于修改&lt;房地产开发企业资质管理规定&gt;的决定》（住房和城乡建设部令第54号）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3.北京市人民政府行政审批制度改革办公室《关于印发&lt;北京市政务服务事项告知承诺审批管理办法&gt;的通知》（京审改办发〔2020〕1号）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三、房地产开发企业二级资质核定申报材料及条件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（一）房地产开发企业资质等级申报表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（二）办理延期的，需提供房地产开发企业资质等级证书正、副本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（三）企业法人营业执照副本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具有相应专业中级以上职称，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具有相应专业初级以上职称，统计人员具有相应专业初级以上职称或从业证书。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有职称的建筑、结构、财务、房地产及有关经济类的专业管理人员不少于5人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，其中专职会计人员不少于2人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需提交身份证件、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职称证书、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最近一个月的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缴纳凭证。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（五）建立质量管理制度、具有质量管理部门及相应质量管理人员等质量保证体系情况说明（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北京市房地产开发企业资质告知承诺审批承诺书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四、工作流程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13000" w:hAnsi="CESI楷体-GB13000" w:eastAsia="CESI楷体-GB13000" w:cs="CESI楷体-GB13000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  <w:highlight w:val="none"/>
        </w:rPr>
        <w:t>（一）申请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1.房地产开发企业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住房和城乡建设委员会门户网站（http://zjw.beijing.gov.cn/）办事大厅，进入“北京市房地产开发管理系统”，首页下载打印《北京市房地产开发企业资质告知承诺审批一次性告知书》《北京市房地产开发企业资质告知承诺审批承诺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2.按告知书内容准备相关资料，确认相关资料齐全、真实、有效后，填写承诺书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承诺书应有企业法人代表签字，并加盖企业公章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。将相关资料、承诺书扫描后形成电子文档，上传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系统后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  <w:highlight w:val="none"/>
        </w:rPr>
        <w:t>（二）受理及决定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区住房城乡建设委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在接到企业受理申请后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即时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确认申请材料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</w:rPr>
        <w:t>齐全且符合法定形式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，符合要求的，即时受理；不符合要求的，不予受理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对已受理的申请，市住房城乡建设委即时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五、事中事后监督管理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  <w:highlight w:val="none"/>
        </w:rPr>
        <w:t>（一）核查</w:t>
      </w:r>
      <w:r>
        <w:rPr>
          <w:rFonts w:hint="eastAsia" w:ascii="CESI楷体-GB13000" w:hAnsi="CESI楷体-GB13000" w:eastAsia="CESI楷体-GB13000" w:cs="CESI楷体-GB13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对通过告知承诺方式取得资质证书的房地产开发企业，市、区住房城乡建设委、经济技术开发区行政审批局应自核发资质证书后20个工作日内，核查其提交资料的真实性、一致性及履诺情况。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  <w:highlight w:val="none"/>
        </w:rPr>
        <w:t>（二）违诺惩戒。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开发企业系统填报资料不准确的为轻微违诺失信行为；专业技术人员变动导致不满足相应资质条件的为一般违诺失信行为；逾期不接受核查、核查时不如实提供材料的为严重违诺失信行为。对于违诺失信行为，责令1个月内整改。整改后仍达不到资质条件要求的，依法撤销决定。虚假承诺的，直接撤销决定，依法予以行政处罚，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  <w:highlight w:val="none"/>
        </w:rPr>
        <w:t>（三）信用管理。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信用管理、信用修复和异议处理按照《北京市政务服务事项告知承诺审批管理办法》等有关规定执行。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altName w:val="CESI仿宋-GB13000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文泉驿微米黑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DF9809"/>
    <w:rsid w:val="FCDF9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2022-04-18T14:25:00Z</dcterms:created>
  <dc:creator>uos</dc:creator>
  <cp:lastModifiedBy>uos</cp:lastModifiedBy>
  <dcterms:modified xsi:type="dcterms:W3CDTF">2022-04-18T14:26:17Z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