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400" w:lineRule="exact"/>
        <w:rPr>
          <w:rFonts w:hint="eastAsia" w:ascii="方正小标宋简体" w:hAnsi="黑体" w:eastAsia="方正小标宋简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方正小标宋简体"/>
          <w:spacing w:val="-12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-12"/>
          <w:sz w:val="44"/>
          <w:szCs w:val="44"/>
        </w:rPr>
        <w:t>自评打分表</w:t>
      </w:r>
    </w:p>
    <w:p>
      <w:pPr>
        <w:spacing w:line="400" w:lineRule="exact"/>
        <w:jc w:val="center"/>
        <w:rPr>
          <w:rFonts w:hint="eastAsia" w:ascii="方正小标宋简体" w:hAnsi="宋体" w:eastAsia="方正小标宋简体" w:cs="方正小标宋简体"/>
          <w:spacing w:val="-12"/>
          <w:sz w:val="44"/>
          <w:szCs w:val="44"/>
        </w:rPr>
      </w:pPr>
    </w:p>
    <w:p>
      <w:pPr>
        <w:spacing w:line="600" w:lineRule="exact"/>
        <w:rPr>
          <w:rFonts w:hint="eastAsia" w:ascii="方正小标宋简体" w:hAnsi="宋体" w:eastAsia="方正小标宋简体" w:cs="方正小标宋简体"/>
          <w:spacing w:val="-12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spacing w:val="-12"/>
          <w:sz w:val="28"/>
          <w:szCs w:val="28"/>
        </w:rPr>
        <w:t>填报</w:t>
      </w:r>
      <w:r>
        <w:rPr>
          <w:rFonts w:ascii="方正小标宋简体" w:hAnsi="宋体" w:eastAsia="方正小标宋简体" w:cs="方正小标宋简体"/>
          <w:spacing w:val="-12"/>
          <w:sz w:val="28"/>
          <w:szCs w:val="28"/>
        </w:rPr>
        <w:t>单位：</w:t>
      </w:r>
      <w:r>
        <w:rPr>
          <w:rFonts w:hint="eastAsia" w:ascii="方正小标宋简体" w:hAnsi="宋体" w:eastAsia="方正小标宋简体" w:cs="方正小标宋简体"/>
          <w:spacing w:val="-12"/>
          <w:sz w:val="28"/>
          <w:szCs w:val="28"/>
        </w:rPr>
        <w:t xml:space="preserve"> （名称加盖公章</w:t>
      </w:r>
      <w:r>
        <w:rPr>
          <w:rFonts w:ascii="方正小标宋简体" w:hAnsi="宋体" w:eastAsia="方正小标宋简体" w:cs="方正小标宋简体"/>
          <w:spacing w:val="-12"/>
          <w:sz w:val="28"/>
          <w:szCs w:val="28"/>
        </w:rPr>
        <w:t>）</w:t>
      </w:r>
      <w:r>
        <w:rPr>
          <w:rFonts w:hint="eastAsia" w:ascii="方正小标宋简体" w:hAnsi="宋体" w:eastAsia="方正小标宋简体" w:cs="方正小标宋简体"/>
          <w:spacing w:val="-12"/>
          <w:sz w:val="28"/>
          <w:szCs w:val="28"/>
        </w:rPr>
        <w:t xml:space="preserve">    </w:t>
      </w:r>
      <w:r>
        <w:rPr>
          <w:rFonts w:ascii="方正小标宋简体" w:hAnsi="宋体" w:eastAsia="方正小标宋简体" w:cs="方正小标宋简体"/>
          <w:spacing w:val="-12"/>
          <w:sz w:val="28"/>
          <w:szCs w:val="28"/>
        </w:rPr>
        <w:t xml:space="preserve">                  </w:t>
      </w:r>
      <w:r>
        <w:rPr>
          <w:rFonts w:hint="eastAsia" w:ascii="方正小标宋简体" w:hAnsi="宋体" w:eastAsia="方正小标宋简体" w:cs="方正小标宋简体"/>
          <w:spacing w:val="-12"/>
          <w:sz w:val="28"/>
          <w:szCs w:val="28"/>
        </w:rPr>
        <w:t>审核</w:t>
      </w:r>
      <w:r>
        <w:rPr>
          <w:rFonts w:ascii="方正小标宋简体" w:hAnsi="宋体" w:eastAsia="方正小标宋简体" w:cs="方正小标宋简体"/>
          <w:spacing w:val="-12"/>
          <w:sz w:val="28"/>
          <w:szCs w:val="28"/>
        </w:rPr>
        <w:t>单位：</w:t>
      </w:r>
      <w:r>
        <w:rPr>
          <w:rFonts w:hint="eastAsia" w:ascii="方正小标宋简体" w:hAnsi="宋体" w:eastAsia="方正小标宋简体" w:cs="方正小标宋简体"/>
          <w:spacing w:val="-12"/>
          <w:sz w:val="28"/>
          <w:szCs w:val="28"/>
        </w:rPr>
        <w:t>（名称加盖公章</w:t>
      </w:r>
      <w:r>
        <w:rPr>
          <w:rFonts w:ascii="方正小标宋简体" w:hAnsi="宋体" w:eastAsia="方正小标宋简体" w:cs="方正小标宋简体"/>
          <w:spacing w:val="-12"/>
          <w:sz w:val="28"/>
          <w:szCs w:val="28"/>
        </w:rPr>
        <w:t>）</w:t>
      </w:r>
      <w:r>
        <w:rPr>
          <w:rFonts w:hint="eastAsia" w:ascii="方正小标宋简体" w:hAnsi="宋体" w:eastAsia="方正小标宋简体" w:cs="方正小标宋简体"/>
          <w:spacing w:val="-12"/>
          <w:sz w:val="28"/>
          <w:szCs w:val="28"/>
        </w:rPr>
        <w:t xml:space="preserve">    </w:t>
      </w:r>
    </w:p>
    <w:p>
      <w:pPr>
        <w:spacing w:line="600" w:lineRule="exact"/>
        <w:rPr>
          <w:rFonts w:hint="eastAsia" w:ascii="方正小标宋简体" w:hAnsi="宋体" w:eastAsia="方正小标宋简体" w:cs="方正小标宋简体"/>
          <w:spacing w:val="-12"/>
          <w:sz w:val="28"/>
          <w:szCs w:val="28"/>
        </w:rPr>
      </w:pPr>
      <w:r>
        <w:rPr>
          <w:rFonts w:ascii="方正小标宋简体" w:hAnsi="宋体" w:eastAsia="方正小标宋简体" w:cs="方正小标宋简体"/>
          <w:spacing w:val="-12"/>
          <w:sz w:val="28"/>
          <w:szCs w:val="28"/>
        </w:rPr>
        <w:t xml:space="preserve"> </w:t>
      </w:r>
    </w:p>
    <w:tbl>
      <w:tblPr>
        <w:tblStyle w:val="5"/>
        <w:tblW w:w="9272" w:type="dxa"/>
        <w:jc w:val="center"/>
        <w:tblInd w:w="-6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"/>
        <w:gridCol w:w="1073"/>
        <w:gridCol w:w="39"/>
        <w:gridCol w:w="3903"/>
        <w:gridCol w:w="347"/>
        <w:gridCol w:w="216"/>
        <w:gridCol w:w="316"/>
        <w:gridCol w:w="247"/>
        <w:gridCol w:w="351"/>
        <w:gridCol w:w="2258"/>
        <w:gridCol w:w="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638" w:hRule="atLeast"/>
          <w:jc w:val="center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类别</w:t>
            </w:r>
          </w:p>
        </w:tc>
        <w:tc>
          <w:tcPr>
            <w:tcW w:w="3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容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满分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得分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638" w:hRule="atLeast"/>
          <w:jc w:val="center"/>
        </w:trPr>
        <w:tc>
          <w:tcPr>
            <w:tcW w:w="12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环境友好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</w:tc>
        <w:tc>
          <w:tcPr>
            <w:tcW w:w="3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141" w:leftChars="67" w:firstLine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与周边环境协调的花园式景观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638" w:hRule="atLeast"/>
          <w:jc w:val="center"/>
        </w:trPr>
        <w:tc>
          <w:tcPr>
            <w:tcW w:w="12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141" w:leftChars="67" w:firstLine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三季有花，四季常绿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638" w:hRule="atLeast"/>
          <w:jc w:val="center"/>
        </w:trPr>
        <w:tc>
          <w:tcPr>
            <w:tcW w:w="12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141" w:leftChars="67" w:firstLine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厂区绿化率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638" w:hRule="atLeast"/>
          <w:jc w:val="center"/>
        </w:trPr>
        <w:tc>
          <w:tcPr>
            <w:tcW w:w="12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141" w:leftChars="67" w:firstLine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出水水质达标率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638" w:hRule="atLeast"/>
          <w:jc w:val="center"/>
        </w:trPr>
        <w:tc>
          <w:tcPr>
            <w:tcW w:w="12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141" w:leftChars="67" w:firstLine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出水指标达到高标准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638" w:hRule="atLeast"/>
          <w:jc w:val="center"/>
        </w:trPr>
        <w:tc>
          <w:tcPr>
            <w:tcW w:w="12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141" w:leftChars="67" w:firstLine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出厂污泥含水率达到60%以下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638" w:hRule="atLeast"/>
          <w:jc w:val="center"/>
        </w:trPr>
        <w:tc>
          <w:tcPr>
            <w:tcW w:w="12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141" w:leftChars="67" w:firstLine="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污泥无害化处置率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638" w:hRule="atLeast"/>
          <w:jc w:val="center"/>
        </w:trPr>
        <w:tc>
          <w:tcPr>
            <w:tcW w:w="12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141" w:leftChars="67" w:firstLine="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污泥运输处置执行六联单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638" w:hRule="atLeast"/>
          <w:jc w:val="center"/>
        </w:trPr>
        <w:tc>
          <w:tcPr>
            <w:tcW w:w="12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141" w:leftChars="67" w:firstLine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污泥运输无遗撒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638" w:hRule="atLeast"/>
          <w:jc w:val="center"/>
        </w:trPr>
        <w:tc>
          <w:tcPr>
            <w:tcW w:w="12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141" w:leftChars="67" w:firstLine="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对污泥处置后的效果进行全程</w:t>
            </w:r>
          </w:p>
          <w:p>
            <w:pPr>
              <w:spacing w:line="400" w:lineRule="exact"/>
              <w:ind w:left="141" w:leftChars="67" w:firstLine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跟踪、评估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638" w:hRule="atLeast"/>
          <w:jc w:val="center"/>
        </w:trPr>
        <w:tc>
          <w:tcPr>
            <w:tcW w:w="12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141" w:leftChars="67" w:firstLine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臭气处理达标率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638" w:hRule="atLeast"/>
          <w:jc w:val="center"/>
        </w:trPr>
        <w:tc>
          <w:tcPr>
            <w:tcW w:w="12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141" w:leftChars="67" w:firstLine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厂界噪声达标率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" w:type="dxa"/>
          <w:trHeight w:val="638" w:hRule="atLeast"/>
          <w:jc w:val="center"/>
        </w:trPr>
        <w:tc>
          <w:tcPr>
            <w:tcW w:w="12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141" w:leftChars="67" w:firstLine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噪音排放执行高标准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455" w:hRule="atLeast"/>
          <w:jc w:val="center"/>
        </w:trPr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指标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满分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得分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455" w:hRule="atLeast"/>
          <w:jc w:val="center"/>
        </w:trPr>
        <w:tc>
          <w:tcPr>
            <w:tcW w:w="11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  <w:r>
              <w:rPr>
                <w:rFonts w:ascii="宋体" w:hAnsi="宋体"/>
                <w:sz w:val="24"/>
              </w:rPr>
              <w:t>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  <w:r>
              <w:rPr>
                <w:rFonts w:ascii="宋体" w:hAnsi="宋体"/>
                <w:sz w:val="24"/>
              </w:rPr>
              <w:t>和谐</w:t>
            </w:r>
            <w:r>
              <w:rPr>
                <w:rFonts w:hint="eastAsia" w:ascii="宋体" w:hAnsi="宋体"/>
                <w:sz w:val="24"/>
              </w:rPr>
              <w:t>14分</w:t>
            </w: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141" w:leftChars="67" w:firstLine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定期及时准确上报数据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455" w:hRule="atLeast"/>
          <w:jc w:val="center"/>
        </w:trPr>
        <w:tc>
          <w:tcPr>
            <w:tcW w:w="11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141" w:leftChars="67" w:firstLine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定期公开出水指标，提供便利的公众查阅渠道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455" w:hRule="atLeast"/>
          <w:jc w:val="center"/>
        </w:trPr>
        <w:tc>
          <w:tcPr>
            <w:tcW w:w="11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141" w:leftChars="67" w:firstLine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定期公开泥质指标，提供便利的公众查阅渠道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601" w:hRule="atLeast"/>
          <w:jc w:val="center"/>
        </w:trPr>
        <w:tc>
          <w:tcPr>
            <w:tcW w:w="11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141" w:leftChars="67" w:firstLine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厂界处设置显示屏及时显示出水水质主要指标、臭气指标、噪声指标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601" w:hRule="atLeast"/>
          <w:jc w:val="center"/>
        </w:trPr>
        <w:tc>
          <w:tcPr>
            <w:tcW w:w="11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功能齐全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141" w:leftChars="67" w:firstLine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污水处理设施设备完备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601" w:hRule="atLeast"/>
          <w:jc w:val="center"/>
        </w:trPr>
        <w:tc>
          <w:tcPr>
            <w:tcW w:w="11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污泥处理设施设备完备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601" w:hRule="atLeast"/>
          <w:jc w:val="center"/>
        </w:trPr>
        <w:tc>
          <w:tcPr>
            <w:tcW w:w="11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臭气收集及处理设施设备完备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601" w:hRule="atLeast"/>
          <w:jc w:val="center"/>
        </w:trPr>
        <w:tc>
          <w:tcPr>
            <w:tcW w:w="11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降噪设施设备完备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601" w:hRule="atLeast"/>
          <w:jc w:val="center"/>
        </w:trPr>
        <w:tc>
          <w:tcPr>
            <w:tcW w:w="11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创新型工艺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601" w:hRule="atLeast"/>
          <w:jc w:val="center"/>
        </w:trPr>
        <w:tc>
          <w:tcPr>
            <w:tcW w:w="11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绿色高效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141" w:leftChars="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符合水资源配置利用规划，再生水利用率不低于80%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601" w:hRule="atLeast"/>
          <w:jc w:val="center"/>
        </w:trPr>
        <w:tc>
          <w:tcPr>
            <w:tcW w:w="11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污泥资源化</w:t>
            </w:r>
            <w:r>
              <w:rPr>
                <w:rFonts w:ascii="宋体" w:hAnsi="宋体" w:cs="宋体"/>
                <w:sz w:val="24"/>
              </w:rPr>
              <w:t>率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601" w:hRule="atLeast"/>
          <w:jc w:val="center"/>
        </w:trPr>
        <w:tc>
          <w:tcPr>
            <w:tcW w:w="11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141" w:leftChars="67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采用热泵、太阳能、太阳光等节能措施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1104" w:hRule="atLeast"/>
          <w:jc w:val="center"/>
        </w:trPr>
        <w:tc>
          <w:tcPr>
            <w:tcW w:w="11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141" w:leftChars="67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雨水</w:t>
            </w:r>
            <w:r>
              <w:rPr>
                <w:rFonts w:ascii="宋体" w:hAnsi="宋体" w:cs="宋体"/>
                <w:sz w:val="24"/>
              </w:rPr>
              <w:t>收集回用设施</w:t>
            </w:r>
            <w:r>
              <w:rPr>
                <w:rFonts w:hint="eastAsia" w:ascii="宋体" w:hAnsi="宋体" w:cs="宋体"/>
                <w:sz w:val="24"/>
              </w:rPr>
              <w:t>完备</w:t>
            </w:r>
            <w:r>
              <w:rPr>
                <w:rFonts w:ascii="宋体" w:hAnsi="宋体" w:cs="宋体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厂区5年</w:t>
            </w:r>
            <w:r>
              <w:rPr>
                <w:rFonts w:ascii="宋体" w:hAnsi="宋体" w:cs="宋体"/>
                <w:sz w:val="24"/>
              </w:rPr>
              <w:t>一遇降</w:t>
            </w:r>
            <w:r>
              <w:rPr>
                <w:rFonts w:hint="eastAsia" w:ascii="宋体" w:hAnsi="宋体" w:cs="宋体"/>
                <w:sz w:val="24"/>
              </w:rPr>
              <w:t>雨</w:t>
            </w:r>
            <w:r>
              <w:rPr>
                <w:rFonts w:ascii="宋体" w:hAnsi="宋体" w:cs="宋体"/>
                <w:sz w:val="24"/>
              </w:rPr>
              <w:t>标准内，</w:t>
            </w:r>
            <w:r>
              <w:rPr>
                <w:rFonts w:hint="eastAsia" w:ascii="宋体" w:hAnsi="宋体" w:cs="宋体"/>
                <w:sz w:val="24"/>
              </w:rPr>
              <w:t>雨水1</w:t>
            </w:r>
            <w:r>
              <w:rPr>
                <w:rFonts w:ascii="宋体" w:hAnsi="宋体" w:cs="宋体"/>
                <w:sz w:val="24"/>
              </w:rPr>
              <w:t>00%收集利用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601" w:hRule="atLeast"/>
          <w:jc w:val="center"/>
        </w:trPr>
        <w:tc>
          <w:tcPr>
            <w:tcW w:w="11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具有能源回收设施系统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601" w:hRule="atLeast"/>
          <w:jc w:val="center"/>
        </w:trPr>
        <w:tc>
          <w:tcPr>
            <w:tcW w:w="11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141" w:leftChars="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污泥衍生产品商业产品化（取得有机肥批号）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601" w:hRule="atLeast"/>
          <w:jc w:val="center"/>
        </w:trPr>
        <w:tc>
          <w:tcPr>
            <w:tcW w:w="5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汇总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100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75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141" w:h="467" w:hRule="exact" w:wrap="around" w:vAnchor="text" w:hAnchor="page" w:x="9149" w:y="23"/>
      <w:ind w:firstLine="196" w:firstLineChars="70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>—</w:t>
    </w:r>
    <w:r>
      <w:rPr>
        <w:rStyle w:val="4"/>
        <w:rFonts w:hint="eastAsia" w:ascii="宋体" w:hAnsi="宋体"/>
        <w:sz w:val="28"/>
        <w:szCs w:val="28"/>
      </w:rPr>
      <w:fldChar w:fldCharType="begin"/>
    </w:r>
    <w:r>
      <w:rPr>
        <w:rStyle w:val="4"/>
        <w:rFonts w:hint="eastAsia" w:ascii="宋体" w:hAnsi="宋体"/>
        <w:sz w:val="28"/>
        <w:szCs w:val="28"/>
      </w:rPr>
      <w:instrText xml:space="preserve">PAGE  </w:instrText>
    </w:r>
    <w:r>
      <w:rPr>
        <w:rStyle w:val="4"/>
        <w:rFonts w:hint="eastAsia"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9</w:t>
    </w:r>
    <w:r>
      <w:rPr>
        <w:rStyle w:val="4"/>
        <w:rFonts w:hint="eastAsia"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>———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897" w:wrap="around" w:vAnchor="text" w:hAnchor="page" w:x="1949" w:y="3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>—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8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>—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960CB"/>
    <w:rsid w:val="32E960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2016-11-09T02:55:00Z</dcterms:created>
  <dc:creator>banruo</dc:creator>
  <cp:lastModifiedBy>banruo</cp:lastModifiedBy>
  <dcterms:modified xsi:type="dcterms:W3CDTF">2016-11-09T02:56:22Z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