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附件3</w:t>
      </w:r>
    </w:p>
    <w:p>
      <w:pPr>
        <w:tabs>
          <w:tab w:val="left" w:pos="770"/>
        </w:tabs>
        <w:adjustRightInd w:val="0"/>
        <w:snapToGrid w:val="0"/>
        <w:spacing w:line="500" w:lineRule="exact"/>
        <w:ind w:firstLine="640" w:firstLineChars="200"/>
        <w:jc w:val="center"/>
        <w:rPr>
          <w:rFonts w:ascii="仿宋_GB2312" w:eastAsia="仿宋_GB2312"/>
          <w:sz w:val="32"/>
          <w:szCs w:val="32"/>
        </w:rPr>
      </w:pPr>
      <w:bookmarkStart w:id="0" w:name="_GoBack"/>
      <w:r>
        <w:rPr>
          <w:rFonts w:hint="eastAsia" w:ascii="仿宋_GB2312" w:eastAsia="仿宋_GB2312"/>
          <w:sz w:val="32"/>
          <w:szCs w:val="32"/>
        </w:rPr>
        <w:t>建筑垃圾运输企业定期评估结果报告</w:t>
      </w:r>
    </w:p>
    <w:bookmarkEnd w:id="0"/>
    <w:p>
      <w:pPr>
        <w:tabs>
          <w:tab w:val="left" w:pos="770"/>
        </w:tabs>
        <w:adjustRightInd w:val="0"/>
        <w:snapToGrid w:val="0"/>
        <w:spacing w:line="500" w:lineRule="exact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日期：     年     月    日                                                   单位</w:t>
      </w:r>
      <w:r>
        <w:rPr>
          <w:rFonts w:ascii="仿宋_GB2312" w:eastAsia="仿宋_GB2312"/>
          <w:sz w:val="24"/>
          <w:szCs w:val="24"/>
        </w:rPr>
        <w:t>盖章：</w:t>
      </w:r>
    </w:p>
    <w:tbl>
      <w:tblPr>
        <w:tblStyle w:val="3"/>
        <w:tblW w:w="15479" w:type="dxa"/>
        <w:jc w:val="center"/>
        <w:tblInd w:w="5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7"/>
        <w:gridCol w:w="2551"/>
        <w:gridCol w:w="1134"/>
        <w:gridCol w:w="1418"/>
        <w:gridCol w:w="1984"/>
        <w:gridCol w:w="1128"/>
        <w:gridCol w:w="6"/>
        <w:gridCol w:w="1614"/>
        <w:gridCol w:w="2026"/>
        <w:gridCol w:w="18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1787" w:type="dxa"/>
            <w:vAlign w:val="center"/>
          </w:tcPr>
          <w:p>
            <w:pPr>
              <w:spacing w:line="360" w:lineRule="exact"/>
              <w:jc w:val="center"/>
              <w:rPr>
                <w:rFonts w:ascii="华文楷体" w:hAnsi="华文楷体" w:eastAsia="华文楷体"/>
                <w:sz w:val="24"/>
                <w:szCs w:val="24"/>
              </w:rPr>
            </w:pPr>
            <w:r>
              <w:rPr>
                <w:rFonts w:hint="eastAsia" w:ascii="华文楷体" w:hAnsi="华文楷体" w:eastAsia="华文楷体"/>
                <w:sz w:val="24"/>
                <w:szCs w:val="24"/>
              </w:rPr>
              <w:t>运输企业</w:t>
            </w:r>
          </w:p>
        </w:tc>
        <w:tc>
          <w:tcPr>
            <w:tcW w:w="2551" w:type="dxa"/>
            <w:vAlign w:val="center"/>
          </w:tcPr>
          <w:p>
            <w:pPr>
              <w:spacing w:line="360" w:lineRule="exact"/>
              <w:jc w:val="center"/>
              <w:rPr>
                <w:rFonts w:ascii="华文楷体" w:hAnsi="华文楷体" w:eastAsia="华文楷体"/>
                <w:sz w:val="24"/>
                <w:szCs w:val="24"/>
              </w:rPr>
            </w:pPr>
          </w:p>
          <w:p>
            <w:pPr>
              <w:spacing w:line="360" w:lineRule="exact"/>
              <w:jc w:val="center"/>
              <w:rPr>
                <w:rFonts w:ascii="华文楷体" w:hAnsi="华文楷体" w:eastAsia="华文楷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exact"/>
              <w:jc w:val="center"/>
              <w:rPr>
                <w:rFonts w:ascii="华文楷体" w:hAnsi="华文楷体" w:eastAsia="华文楷体"/>
                <w:sz w:val="24"/>
                <w:szCs w:val="24"/>
              </w:rPr>
            </w:pPr>
            <w:r>
              <w:rPr>
                <w:rFonts w:hint="eastAsia" w:ascii="华文楷体" w:hAnsi="华文楷体" w:eastAsia="华文楷体"/>
                <w:sz w:val="24"/>
                <w:szCs w:val="24"/>
              </w:rPr>
              <w:t>法定代表人</w:t>
            </w:r>
          </w:p>
        </w:tc>
        <w:tc>
          <w:tcPr>
            <w:tcW w:w="1418" w:type="dxa"/>
            <w:vAlign w:val="center"/>
          </w:tcPr>
          <w:p>
            <w:pPr>
              <w:spacing w:line="360" w:lineRule="exact"/>
              <w:jc w:val="center"/>
              <w:rPr>
                <w:rFonts w:ascii="华文楷体" w:hAnsi="华文楷体" w:eastAsia="华文楷体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>
            <w:pPr>
              <w:spacing w:line="360" w:lineRule="exact"/>
              <w:jc w:val="center"/>
              <w:rPr>
                <w:rFonts w:ascii="华文楷体" w:hAnsi="华文楷体" w:eastAsia="华文楷体"/>
                <w:sz w:val="24"/>
                <w:szCs w:val="24"/>
              </w:rPr>
            </w:pPr>
            <w:r>
              <w:rPr>
                <w:rFonts w:hint="eastAsia" w:ascii="华文楷体" w:hAnsi="华文楷体" w:eastAsia="华文楷体"/>
                <w:sz w:val="24"/>
                <w:szCs w:val="24"/>
              </w:rPr>
              <w:t>联系电话</w:t>
            </w:r>
          </w:p>
        </w:tc>
        <w:tc>
          <w:tcPr>
            <w:tcW w:w="1134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ascii="华文楷体" w:hAnsi="华文楷体" w:eastAsia="华文楷体"/>
                <w:sz w:val="24"/>
                <w:szCs w:val="24"/>
              </w:rPr>
            </w:pPr>
          </w:p>
        </w:tc>
        <w:tc>
          <w:tcPr>
            <w:tcW w:w="1614" w:type="dxa"/>
            <w:vAlign w:val="center"/>
          </w:tcPr>
          <w:p>
            <w:pPr>
              <w:spacing w:line="360" w:lineRule="exact"/>
              <w:jc w:val="center"/>
              <w:rPr>
                <w:rFonts w:ascii="华文楷体" w:hAnsi="华文楷体" w:eastAsia="华文楷体"/>
                <w:sz w:val="24"/>
                <w:szCs w:val="24"/>
              </w:rPr>
            </w:pPr>
            <w:r>
              <w:rPr>
                <w:rFonts w:hint="eastAsia" w:ascii="华文楷体" w:hAnsi="华文楷体" w:eastAsia="华文楷体"/>
                <w:sz w:val="24"/>
                <w:szCs w:val="24"/>
              </w:rPr>
              <w:t>办公地址</w:t>
            </w:r>
          </w:p>
        </w:tc>
        <w:tc>
          <w:tcPr>
            <w:tcW w:w="3857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ascii="华文楷体" w:hAnsi="华文楷体" w:eastAsia="华文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1787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华文楷体" w:hAnsi="华文楷体" w:eastAsia="华文楷体"/>
                <w:sz w:val="24"/>
                <w:szCs w:val="24"/>
              </w:rPr>
            </w:pPr>
            <w:r>
              <w:rPr>
                <w:rFonts w:hint="eastAsia" w:ascii="华文楷体" w:hAnsi="华文楷体" w:eastAsia="华文楷体"/>
                <w:sz w:val="24"/>
                <w:szCs w:val="24"/>
              </w:rPr>
              <w:t>经营规范</w:t>
            </w:r>
          </w:p>
        </w:tc>
        <w:tc>
          <w:tcPr>
            <w:tcW w:w="2551" w:type="dxa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华文楷体" w:hAnsi="华文楷体" w:eastAsia="华文楷体"/>
                <w:sz w:val="24"/>
                <w:szCs w:val="24"/>
              </w:rPr>
            </w:pPr>
            <w:r>
              <w:rPr>
                <w:rFonts w:hint="eastAsia" w:ascii="华文楷体" w:hAnsi="华文楷体" w:eastAsia="华文楷体"/>
                <w:sz w:val="24"/>
                <w:szCs w:val="24"/>
              </w:rPr>
              <w:t>固定办公场所及车辆停放场所（得分</w:t>
            </w:r>
            <w:r>
              <w:rPr>
                <w:rFonts w:ascii="华文楷体" w:hAnsi="华文楷体" w:eastAsia="华文楷体"/>
                <w:sz w:val="24"/>
                <w:szCs w:val="24"/>
              </w:rPr>
              <w:t>）</w:t>
            </w:r>
          </w:p>
        </w:tc>
        <w:tc>
          <w:tcPr>
            <w:tcW w:w="2552" w:type="dxa"/>
            <w:gridSpan w:val="2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华文楷体" w:hAnsi="华文楷体" w:eastAsia="华文楷体"/>
                <w:sz w:val="24"/>
                <w:szCs w:val="24"/>
              </w:rPr>
            </w:pPr>
            <w:r>
              <w:rPr>
                <w:rFonts w:hint="eastAsia" w:ascii="华文楷体" w:hAnsi="华文楷体" w:eastAsia="华文楷体"/>
                <w:sz w:val="24"/>
                <w:szCs w:val="24"/>
              </w:rPr>
              <w:t>各项管理制度健全及落实到位（得分</w:t>
            </w:r>
            <w:r>
              <w:rPr>
                <w:rFonts w:ascii="华文楷体" w:hAnsi="华文楷体" w:eastAsia="华文楷体"/>
                <w:sz w:val="24"/>
                <w:szCs w:val="24"/>
              </w:rPr>
              <w:t>）</w:t>
            </w:r>
          </w:p>
        </w:tc>
        <w:tc>
          <w:tcPr>
            <w:tcW w:w="1984" w:type="dxa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华文楷体" w:hAnsi="华文楷体" w:eastAsia="华文楷体"/>
                <w:sz w:val="24"/>
                <w:szCs w:val="24"/>
              </w:rPr>
            </w:pPr>
            <w:r>
              <w:rPr>
                <w:rFonts w:hint="eastAsia" w:ascii="华文楷体" w:hAnsi="华文楷体" w:eastAsia="华文楷体"/>
                <w:sz w:val="24"/>
                <w:szCs w:val="24"/>
              </w:rPr>
              <w:t>遗撒、乱倒应急处理措施（得分</w:t>
            </w:r>
            <w:r>
              <w:rPr>
                <w:rFonts w:ascii="华文楷体" w:hAnsi="华文楷体" w:eastAsia="华文楷体"/>
                <w:sz w:val="24"/>
                <w:szCs w:val="24"/>
              </w:rPr>
              <w:t>）</w:t>
            </w:r>
          </w:p>
        </w:tc>
        <w:tc>
          <w:tcPr>
            <w:tcW w:w="2748" w:type="dxa"/>
            <w:gridSpan w:val="3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华文楷体" w:hAnsi="华文楷体" w:eastAsia="华文楷体"/>
                <w:sz w:val="24"/>
                <w:szCs w:val="24"/>
              </w:rPr>
            </w:pPr>
            <w:r>
              <w:rPr>
                <w:rFonts w:hint="eastAsia" w:ascii="华文楷体" w:hAnsi="华文楷体" w:eastAsia="华文楷体"/>
                <w:sz w:val="24"/>
                <w:szCs w:val="24"/>
              </w:rPr>
              <w:t>加分项目</w:t>
            </w:r>
          </w:p>
        </w:tc>
        <w:tc>
          <w:tcPr>
            <w:tcW w:w="2026" w:type="dxa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华文楷体" w:hAnsi="华文楷体" w:eastAsia="华文楷体"/>
                <w:sz w:val="24"/>
                <w:szCs w:val="24"/>
              </w:rPr>
            </w:pPr>
            <w:r>
              <w:rPr>
                <w:rFonts w:hint="eastAsia" w:ascii="华文楷体" w:hAnsi="华文楷体" w:eastAsia="华文楷体"/>
                <w:sz w:val="24"/>
                <w:szCs w:val="24"/>
              </w:rPr>
              <w:t>运输企业</w:t>
            </w:r>
            <w:r>
              <w:rPr>
                <w:rFonts w:ascii="华文楷体" w:hAnsi="华文楷体" w:eastAsia="华文楷体"/>
                <w:sz w:val="24"/>
                <w:szCs w:val="24"/>
              </w:rPr>
              <w:t>自有车辆数</w:t>
            </w:r>
          </w:p>
        </w:tc>
        <w:tc>
          <w:tcPr>
            <w:tcW w:w="1831" w:type="dxa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华文楷体" w:hAnsi="华文楷体" w:eastAsia="华文楷体"/>
                <w:sz w:val="24"/>
                <w:szCs w:val="24"/>
              </w:rPr>
            </w:pPr>
            <w:r>
              <w:rPr>
                <w:rFonts w:hint="eastAsia" w:ascii="华文楷体" w:hAnsi="华文楷体" w:eastAsia="华文楷体"/>
                <w:sz w:val="24"/>
                <w:szCs w:val="24"/>
              </w:rPr>
              <w:t>查验</w:t>
            </w:r>
            <w:r>
              <w:rPr>
                <w:rFonts w:ascii="华文楷体" w:hAnsi="华文楷体" w:eastAsia="华文楷体"/>
                <w:sz w:val="24"/>
                <w:szCs w:val="24"/>
              </w:rPr>
              <w:t>车辆数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787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华文楷体" w:hAnsi="华文楷体" w:eastAsia="华文楷体"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ascii="华文楷体" w:hAnsi="华文楷体" w:eastAsia="华文楷体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vMerge w:val="restart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ascii="华文楷体" w:hAnsi="华文楷体" w:eastAsia="华文楷体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ascii="华文楷体" w:hAnsi="华文楷体" w:eastAsia="华文楷体"/>
                <w:sz w:val="24"/>
                <w:szCs w:val="24"/>
              </w:rPr>
            </w:pPr>
          </w:p>
        </w:tc>
        <w:tc>
          <w:tcPr>
            <w:tcW w:w="2748" w:type="dxa"/>
            <w:gridSpan w:val="3"/>
            <w:vMerge w:val="restart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ascii="华文楷体" w:hAnsi="华文楷体" w:eastAsia="华文楷体"/>
                <w:sz w:val="24"/>
                <w:szCs w:val="24"/>
              </w:rPr>
            </w:pPr>
          </w:p>
        </w:tc>
        <w:tc>
          <w:tcPr>
            <w:tcW w:w="2026" w:type="dxa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ascii="华文楷体" w:hAnsi="华文楷体" w:eastAsia="华文楷体"/>
                <w:sz w:val="24"/>
                <w:szCs w:val="24"/>
              </w:rPr>
            </w:pPr>
          </w:p>
        </w:tc>
        <w:tc>
          <w:tcPr>
            <w:tcW w:w="1831" w:type="dxa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ascii="华文楷体" w:hAnsi="华文楷体" w:eastAsia="华文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1787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华文楷体" w:hAnsi="华文楷体" w:eastAsia="华文楷体"/>
                <w:sz w:val="24"/>
                <w:szCs w:val="24"/>
              </w:rPr>
            </w:pPr>
          </w:p>
        </w:tc>
        <w:tc>
          <w:tcPr>
            <w:tcW w:w="2551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ascii="华文楷体" w:hAnsi="华文楷体" w:eastAsia="华文楷体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vMerge w:val="continue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ascii="华文楷体" w:hAnsi="华文楷体" w:eastAsia="华文楷体"/>
                <w:sz w:val="24"/>
                <w:szCs w:val="24"/>
              </w:rPr>
            </w:pPr>
          </w:p>
        </w:tc>
        <w:tc>
          <w:tcPr>
            <w:tcW w:w="1984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ascii="华文楷体" w:hAnsi="华文楷体" w:eastAsia="华文楷体"/>
                <w:sz w:val="24"/>
                <w:szCs w:val="24"/>
              </w:rPr>
            </w:pPr>
          </w:p>
        </w:tc>
        <w:tc>
          <w:tcPr>
            <w:tcW w:w="2748" w:type="dxa"/>
            <w:gridSpan w:val="3"/>
            <w:vMerge w:val="continue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ascii="华文楷体" w:hAnsi="华文楷体" w:eastAsia="华文楷体"/>
                <w:sz w:val="24"/>
                <w:szCs w:val="24"/>
              </w:rPr>
            </w:pPr>
          </w:p>
        </w:tc>
        <w:tc>
          <w:tcPr>
            <w:tcW w:w="2026" w:type="dxa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ascii="华文楷体" w:hAnsi="华文楷体" w:eastAsia="华文楷体"/>
                <w:sz w:val="24"/>
                <w:szCs w:val="24"/>
              </w:rPr>
            </w:pPr>
            <w:r>
              <w:rPr>
                <w:rFonts w:hint="eastAsia" w:ascii="华文楷体" w:hAnsi="华文楷体" w:eastAsia="华文楷体"/>
                <w:sz w:val="24"/>
                <w:szCs w:val="24"/>
              </w:rPr>
              <w:t>车辆</w:t>
            </w:r>
            <w:r>
              <w:rPr>
                <w:rFonts w:ascii="华文楷体" w:hAnsi="华文楷体" w:eastAsia="华文楷体"/>
                <w:sz w:val="24"/>
                <w:szCs w:val="24"/>
              </w:rPr>
              <w:t>到检</w:t>
            </w:r>
            <w:r>
              <w:rPr>
                <w:rFonts w:hint="eastAsia" w:ascii="华文楷体" w:hAnsi="华文楷体" w:eastAsia="华文楷体"/>
                <w:sz w:val="24"/>
                <w:szCs w:val="24"/>
              </w:rPr>
              <w:t>率</w:t>
            </w:r>
          </w:p>
        </w:tc>
        <w:tc>
          <w:tcPr>
            <w:tcW w:w="1831" w:type="dxa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ascii="华文楷体" w:hAnsi="华文楷体" w:eastAsia="华文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1787" w:type="dxa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ascii="华文楷体" w:hAnsi="华文楷体" w:eastAsia="华文楷体"/>
                <w:sz w:val="24"/>
                <w:szCs w:val="24"/>
              </w:rPr>
            </w:pPr>
            <w:r>
              <w:rPr>
                <w:rFonts w:hint="eastAsia" w:ascii="华文楷体" w:hAnsi="华文楷体" w:eastAsia="华文楷体"/>
                <w:sz w:val="24"/>
                <w:szCs w:val="24"/>
              </w:rPr>
              <w:t>车辆违法违规问题处理情况</w:t>
            </w:r>
          </w:p>
        </w:tc>
        <w:tc>
          <w:tcPr>
            <w:tcW w:w="9835" w:type="dxa"/>
            <w:gridSpan w:val="7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ascii="华文楷体" w:hAnsi="华文楷体" w:eastAsia="华文楷体"/>
                <w:sz w:val="24"/>
                <w:szCs w:val="24"/>
              </w:rPr>
            </w:pPr>
          </w:p>
        </w:tc>
        <w:tc>
          <w:tcPr>
            <w:tcW w:w="3857" w:type="dxa"/>
            <w:gridSpan w:val="2"/>
            <w:vAlign w:val="center"/>
          </w:tcPr>
          <w:p>
            <w:pPr>
              <w:adjustRightInd w:val="0"/>
              <w:snapToGrid w:val="0"/>
              <w:spacing w:line="360" w:lineRule="exact"/>
              <w:ind w:firstLine="980" w:firstLineChars="350"/>
              <w:rPr>
                <w:rFonts w:ascii="黑体" w:hAnsi="黑体" w:eastAsia="黑体"/>
                <w:sz w:val="28"/>
                <w:szCs w:val="28"/>
              </w:rPr>
            </w:pPr>
            <w:r>
              <w:rPr>
                <w:rFonts w:hint="eastAsia" w:ascii="黑体" w:hAnsi="黑体" w:eastAsia="黑体"/>
                <w:sz w:val="28"/>
                <w:szCs w:val="28"/>
              </w:rPr>
              <w:t>定期</w:t>
            </w:r>
            <w:r>
              <w:rPr>
                <w:rFonts w:ascii="黑体" w:hAnsi="黑体" w:eastAsia="黑体"/>
                <w:sz w:val="28"/>
                <w:szCs w:val="28"/>
              </w:rPr>
              <w:t>评估</w:t>
            </w:r>
            <w:r>
              <w:rPr>
                <w:rFonts w:hint="eastAsia" w:ascii="黑体" w:hAnsi="黑体" w:eastAsia="黑体"/>
                <w:sz w:val="28"/>
                <w:szCs w:val="28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2" w:hRule="atLeast"/>
          <w:jc w:val="center"/>
        </w:trPr>
        <w:tc>
          <w:tcPr>
            <w:tcW w:w="1787" w:type="dxa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华文楷体" w:hAnsi="华文楷体" w:eastAsia="华文楷体"/>
                <w:sz w:val="24"/>
                <w:szCs w:val="24"/>
              </w:rPr>
            </w:pPr>
            <w:r>
              <w:rPr>
                <w:rFonts w:hint="eastAsia" w:ascii="华文楷体" w:hAnsi="华文楷体" w:eastAsia="华文楷体"/>
                <w:sz w:val="24"/>
                <w:szCs w:val="24"/>
              </w:rPr>
              <w:t>评估需整改问题</w:t>
            </w:r>
          </w:p>
        </w:tc>
        <w:tc>
          <w:tcPr>
            <w:tcW w:w="9835" w:type="dxa"/>
            <w:gridSpan w:val="7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ascii="华文楷体" w:hAnsi="华文楷体" w:eastAsia="华文楷体"/>
                <w:sz w:val="24"/>
                <w:szCs w:val="24"/>
              </w:rPr>
            </w:pPr>
          </w:p>
        </w:tc>
        <w:tc>
          <w:tcPr>
            <w:tcW w:w="3857" w:type="dxa"/>
            <w:gridSpan w:val="2"/>
            <w:vMerge w:val="restart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ascii="华文楷体" w:hAnsi="华文楷体" w:eastAsia="华文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2" w:hRule="atLeast"/>
          <w:jc w:val="center"/>
        </w:trPr>
        <w:tc>
          <w:tcPr>
            <w:tcW w:w="1787" w:type="dxa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华文楷体" w:hAnsi="华文楷体" w:eastAsia="华文楷体"/>
                <w:sz w:val="24"/>
                <w:szCs w:val="24"/>
              </w:rPr>
            </w:pPr>
            <w:r>
              <w:rPr>
                <w:rFonts w:hint="eastAsia" w:ascii="华文楷体" w:hAnsi="华文楷体" w:eastAsia="华文楷体"/>
                <w:sz w:val="24"/>
                <w:szCs w:val="24"/>
              </w:rPr>
              <w:t>整改</w:t>
            </w:r>
            <w:r>
              <w:rPr>
                <w:rFonts w:ascii="华文楷体" w:hAnsi="华文楷体" w:eastAsia="华文楷体"/>
                <w:sz w:val="24"/>
                <w:szCs w:val="24"/>
              </w:rPr>
              <w:t>情况</w:t>
            </w:r>
          </w:p>
        </w:tc>
        <w:tc>
          <w:tcPr>
            <w:tcW w:w="9835" w:type="dxa"/>
            <w:gridSpan w:val="7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ascii="华文楷体" w:hAnsi="华文楷体" w:eastAsia="华文楷体"/>
                <w:sz w:val="24"/>
                <w:szCs w:val="24"/>
              </w:rPr>
            </w:pPr>
          </w:p>
        </w:tc>
        <w:tc>
          <w:tcPr>
            <w:tcW w:w="3857" w:type="dxa"/>
            <w:gridSpan w:val="2"/>
            <w:vMerge w:val="continue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ascii="华文楷体" w:hAnsi="华文楷体" w:eastAsia="华文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  <w:jc w:val="center"/>
        </w:trPr>
        <w:tc>
          <w:tcPr>
            <w:tcW w:w="1787" w:type="dxa"/>
            <w:vAlign w:val="center"/>
          </w:tcPr>
          <w:p>
            <w:pPr>
              <w:adjustRightInd w:val="0"/>
              <w:snapToGrid w:val="0"/>
              <w:spacing w:line="360" w:lineRule="exact"/>
              <w:jc w:val="left"/>
              <w:rPr>
                <w:rFonts w:ascii="华文楷体" w:hAnsi="华文楷体" w:eastAsia="华文楷体"/>
                <w:sz w:val="24"/>
                <w:szCs w:val="24"/>
              </w:rPr>
            </w:pPr>
            <w:r>
              <w:rPr>
                <w:rFonts w:hint="eastAsia" w:ascii="华文楷体" w:hAnsi="华文楷体" w:eastAsia="华文楷体"/>
                <w:sz w:val="24"/>
                <w:szCs w:val="24"/>
              </w:rPr>
              <w:t>检验</w:t>
            </w:r>
            <w:r>
              <w:rPr>
                <w:rFonts w:ascii="华文楷体" w:hAnsi="华文楷体" w:eastAsia="华文楷体"/>
                <w:sz w:val="24"/>
                <w:szCs w:val="24"/>
              </w:rPr>
              <w:t>人员</w:t>
            </w:r>
          </w:p>
        </w:tc>
        <w:tc>
          <w:tcPr>
            <w:tcW w:w="5103" w:type="dxa"/>
            <w:gridSpan w:val="3"/>
            <w:vAlign w:val="center"/>
          </w:tcPr>
          <w:p>
            <w:pPr>
              <w:adjustRightInd w:val="0"/>
              <w:snapToGrid w:val="0"/>
              <w:spacing w:line="360" w:lineRule="exact"/>
              <w:jc w:val="left"/>
              <w:rPr>
                <w:rFonts w:ascii="华文楷体" w:hAnsi="华文楷体" w:eastAsia="华文楷体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>
            <w:pPr>
              <w:adjustRightInd w:val="0"/>
              <w:snapToGrid w:val="0"/>
              <w:spacing w:line="360" w:lineRule="exact"/>
              <w:jc w:val="left"/>
              <w:rPr>
                <w:rFonts w:ascii="华文楷体" w:hAnsi="华文楷体" w:eastAsia="华文楷体"/>
                <w:sz w:val="24"/>
                <w:szCs w:val="24"/>
              </w:rPr>
            </w:pPr>
            <w:r>
              <w:rPr>
                <w:rFonts w:hint="eastAsia" w:ascii="华文楷体" w:hAnsi="华文楷体" w:eastAsia="华文楷体"/>
                <w:sz w:val="24"/>
                <w:szCs w:val="24"/>
              </w:rPr>
              <w:t>企业</w:t>
            </w:r>
            <w:r>
              <w:rPr>
                <w:rFonts w:ascii="华文楷体" w:hAnsi="华文楷体" w:eastAsia="华文楷体"/>
                <w:sz w:val="24"/>
                <w:szCs w:val="24"/>
              </w:rPr>
              <w:t>负责人</w:t>
            </w:r>
          </w:p>
        </w:tc>
        <w:tc>
          <w:tcPr>
            <w:tcW w:w="1128" w:type="dxa"/>
            <w:vAlign w:val="center"/>
          </w:tcPr>
          <w:p>
            <w:pPr>
              <w:adjustRightInd w:val="0"/>
              <w:snapToGrid w:val="0"/>
              <w:spacing w:line="360" w:lineRule="exact"/>
              <w:jc w:val="left"/>
              <w:rPr>
                <w:rFonts w:ascii="华文楷体" w:hAnsi="华文楷体" w:eastAsia="华文楷体"/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vAlign w:val="center"/>
          </w:tcPr>
          <w:p>
            <w:pPr>
              <w:adjustRightInd w:val="0"/>
              <w:snapToGrid w:val="0"/>
              <w:spacing w:line="360" w:lineRule="exact"/>
              <w:jc w:val="left"/>
              <w:rPr>
                <w:rFonts w:ascii="华文楷体" w:hAnsi="华文楷体" w:eastAsia="华文楷体"/>
                <w:sz w:val="24"/>
                <w:szCs w:val="24"/>
              </w:rPr>
            </w:pPr>
            <w:r>
              <w:rPr>
                <w:rFonts w:hint="eastAsia" w:ascii="华文楷体" w:hAnsi="华文楷体" w:eastAsia="华文楷体"/>
                <w:sz w:val="24"/>
                <w:szCs w:val="24"/>
              </w:rPr>
              <w:t>主管</w:t>
            </w:r>
            <w:r>
              <w:rPr>
                <w:rFonts w:ascii="华文楷体" w:hAnsi="华文楷体" w:eastAsia="华文楷体"/>
                <w:sz w:val="24"/>
                <w:szCs w:val="24"/>
              </w:rPr>
              <w:t>领导</w:t>
            </w:r>
          </w:p>
        </w:tc>
        <w:tc>
          <w:tcPr>
            <w:tcW w:w="3857" w:type="dxa"/>
            <w:gridSpan w:val="2"/>
            <w:vAlign w:val="center"/>
          </w:tcPr>
          <w:p>
            <w:pPr>
              <w:adjustRightInd w:val="0"/>
              <w:snapToGrid w:val="0"/>
              <w:spacing w:line="360" w:lineRule="exact"/>
              <w:jc w:val="left"/>
              <w:rPr>
                <w:rFonts w:ascii="华文楷体" w:hAnsi="华文楷体" w:eastAsia="华文楷体"/>
                <w:sz w:val="24"/>
                <w:szCs w:val="24"/>
              </w:rPr>
            </w:pPr>
          </w:p>
        </w:tc>
      </w:tr>
    </w:tbl>
    <w:p>
      <w:pPr>
        <w:jc w:val="left"/>
        <w:rPr>
          <w:rFonts w:ascii="仿宋_GB2312" w:eastAsia="仿宋_GB2312"/>
          <w:sz w:val="24"/>
          <w:szCs w:val="24"/>
        </w:rPr>
        <w:sectPr>
          <w:pgSz w:w="16840" w:h="11907" w:orient="landscape"/>
          <w:pgMar w:top="1191" w:right="1474" w:bottom="1191" w:left="1474" w:header="567" w:footer="1213" w:gutter="0"/>
          <w:cols w:space="425" w:num="1"/>
          <w:docGrid w:type="lines" w:linePitch="312" w:charSpace="0"/>
        </w:sectPr>
      </w:pPr>
    </w:p>
    <w:p>
      <w:pPr>
        <w:jc w:val="left"/>
      </w:pPr>
      <w:r>
        <w:rPr>
          <w:rFonts w:ascii="仿宋_GB2312" w:eastAsia="仿宋_GB2312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426085</wp:posOffset>
            </wp:positionV>
            <wp:extent cx="6430645" cy="9105900"/>
            <wp:effectExtent l="0" t="0" r="8255" b="0"/>
            <wp:wrapNone/>
            <wp:docPr id="3" name="图片 3" descr="C:\Users\leiwen\AppData\Roaming\Foxmail7\Temp-5772-20151110135048\北京市建筑垃圾车辆运输管理系统入网证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iwen\AppData\Roaming\Foxmail7\Temp-5772-20151110135048\北京市建筑垃圾车辆运输管理系统入网证明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0645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pgSz w:w="11907" w:h="16840"/>
      <w:pgMar w:top="1474" w:right="1191" w:bottom="1474" w:left="1191" w:header="567" w:footer="1213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长城黑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4D27F0"/>
    <w:rsid w:val="1E4D27F0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2016-11-11T08:43:00Z</dcterms:created>
  <dc:creator>banruo</dc:creator>
  <cp:lastModifiedBy>banruo</cp:lastModifiedBy>
  <dcterms:modified xsi:type="dcterms:W3CDTF">2016-11-11T08:43:48Z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