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432" w:lineRule="auto"/>
        <w:rPr>
          <w:rFonts w:hint="eastAsia" w:ascii="仿宋_GB2312" w:hAnsi="Arial" w:eastAsia="仿宋_GB2312" w:cs="Arial"/>
          <w:sz w:val="30"/>
          <w:szCs w:val="30"/>
        </w:rPr>
      </w:pPr>
      <w:r>
        <w:rPr>
          <w:rFonts w:hint="eastAsia" w:ascii="仿宋_GB2312" w:hAnsi="Arial" w:eastAsia="仿宋_GB2312" w:cs="Arial"/>
          <w:sz w:val="30"/>
          <w:szCs w:val="30"/>
        </w:rPr>
        <w:t>附表：</w:t>
      </w:r>
    </w:p>
    <w:tbl>
      <w:tblPr>
        <w:tblStyle w:val="3"/>
        <w:tblW w:w="9494" w:type="dxa"/>
        <w:jc w:val="right"/>
        <w:tblInd w:w="35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62"/>
        <w:gridCol w:w="2932"/>
        <w:gridCol w:w="1080"/>
        <w:gridCol w:w="34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right"/>
        </w:trPr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center"/>
              <w:rPr>
                <w:rFonts w:ascii="华文中宋" w:hAnsi="华文中宋" w:eastAsia="华文中宋" w:cs="Arial"/>
                <w:b/>
                <w:bCs/>
                <w:kern w:val="0"/>
                <w:sz w:val="32"/>
                <w:szCs w:val="32"/>
              </w:rPr>
            </w:pPr>
            <w:bookmarkStart w:id="0" w:name="_GoBack"/>
            <w:r>
              <w:rPr>
                <w:rFonts w:hint="eastAsia" w:ascii="华文中宋" w:hAnsi="华文中宋" w:eastAsia="华文中宋" w:cs="Arial"/>
                <w:b/>
                <w:bCs/>
                <w:kern w:val="0"/>
                <w:sz w:val="32"/>
                <w:szCs w:val="32"/>
              </w:rPr>
              <w:t>市级财政部门对项目区县绩效评价量化指标表</w:t>
            </w:r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宋体" w:hAnsi="宋体" w:cs="Arial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宋体" w:hAnsi="宋体" w:cs="Arial"/>
                <w:b/>
                <w:bCs/>
                <w:kern w:val="0"/>
                <w:sz w:val="36"/>
                <w:szCs w:val="40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宋体" w:hAnsi="宋体" w:cs="Arial"/>
                <w:b/>
                <w:bCs/>
                <w:kern w:val="0"/>
                <w:sz w:val="36"/>
                <w:szCs w:val="4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8"/>
                <w:szCs w:val="28"/>
              </w:rPr>
              <w:t>评价对象: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宋体" w:hAnsi="宋体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right"/>
        </w:trPr>
        <w:tc>
          <w:tcPr>
            <w:tcW w:w="20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评价内容</w:t>
            </w:r>
          </w:p>
        </w:tc>
        <w:tc>
          <w:tcPr>
            <w:tcW w:w="2932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评价指标</w:t>
            </w:r>
          </w:p>
        </w:tc>
        <w:tc>
          <w:tcPr>
            <w:tcW w:w="108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得分</w:t>
            </w:r>
          </w:p>
        </w:tc>
        <w:tc>
          <w:tcPr>
            <w:tcW w:w="34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8"/>
                <w:szCs w:val="28"/>
              </w:rPr>
              <w:t>评价说明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一、实施方案制定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（10分）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1.实施方案内容（7分）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主要评价方案内容是否按照制度规定全面完整编制。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2.实施方案报送（3分）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主要评价方案是否在规定时间内报送。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二、支农资金整合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 xml:space="preserve"> （16分）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1.整合资金规模</w:t>
            </w:r>
            <w:r>
              <w:rPr>
                <w:rFonts w:hint="eastAsia" w:ascii="楷体_GB2312" w:hAnsi="Arial" w:eastAsia="楷体_GB2312" w:cs="Arial"/>
                <w:b/>
                <w:bCs/>
                <w:color w:val="000000"/>
                <w:kern w:val="0"/>
                <w:sz w:val="24"/>
              </w:rPr>
              <w:t>（8分）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主要评价各地在项目中整合财政资金的规模。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5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2.整合资金渠道（8</w:t>
            </w:r>
            <w:r>
              <w:rPr>
                <w:rFonts w:hint="eastAsia" w:ascii="楷体_GB2312" w:hAnsi="Arial" w:eastAsia="楷体_GB2312" w:cs="Arial"/>
                <w:b/>
                <w:bCs/>
                <w:color w:val="000000"/>
                <w:kern w:val="0"/>
                <w:sz w:val="24"/>
              </w:rPr>
              <w:t>分</w:t>
            </w: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主要评价整合财政资金的来源渠道，包括财政部门、农口部门和其他涉农部门。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三、资金项目管理</w:t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color w:val="000000"/>
                <w:kern w:val="0"/>
                <w:sz w:val="24"/>
              </w:rPr>
              <w:t>（16分）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1.管理制度建设（3分）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主要评价资金、项目管理制度建设情况。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2.资金执行进度（4分）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主要评价现代农业生产发展资金执行进度。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color w:val="000000"/>
                <w:kern w:val="0"/>
                <w:sz w:val="24"/>
              </w:rPr>
              <w:t>3.管理机制创新（4分）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主要评价资金、项目管理监督等方面的机制创新情况。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right"/>
        </w:trPr>
        <w:tc>
          <w:tcPr>
            <w:tcW w:w="2062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4.管理工作开展（5分）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主要评价加强资金、项目管理的有关工作开展情况。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right"/>
        </w:trPr>
        <w:tc>
          <w:tcPr>
            <w:tcW w:w="2062" w:type="dxa"/>
            <w:tcBorders>
              <w:top w:val="single" w:color="auto" w:sz="4" w:space="0"/>
              <w:left w:val="single" w:color="000000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ascii="宋体" w:hAnsi="宋体" w:cs="Arial"/>
                <w:b/>
                <w:bCs/>
                <w:color w:val="000000"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32" w:lineRule="auto"/>
              <w:jc w:val="left"/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32" w:lineRule="auto"/>
              <w:jc w:val="center"/>
              <w:rPr>
                <w:rFonts w:hint="eastAsia" w:ascii="宋体" w:hAnsi="宋体" w:cs="Arial"/>
                <w:kern w:val="0"/>
                <w:sz w:val="24"/>
              </w:rPr>
            </w:pP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432" w:lineRule="auto"/>
              <w:jc w:val="left"/>
              <w:rPr>
                <w:rFonts w:hint="eastAsia" w:ascii="仿宋_GB2312" w:hAnsi="Arial" w:eastAsia="仿宋_GB2312" w:cs="Arial"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right"/>
        </w:trPr>
        <w:tc>
          <w:tcPr>
            <w:tcW w:w="206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四、组织保障工作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（8分）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1.组织协调机制（2分）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主要评价是否建立有效的组织协调机制。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2.与部门密切配合（2分）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主要评价财政部门与有关部门是否密切配合、反映良好。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right"/>
        </w:trPr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3.政策信息宣传（2分）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主要评价对现代农业生产发展资金政策有效宣传、信息报送等情况。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4.总结报送（2分）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主要评价关于现代农业生产发展资金项目的总结、基础统计数据等各类信息的报送情况。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五、项目完成情况（25分）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1.完成程度（10分）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主要评价项目建设内容是否完成。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2.完成质量（10分）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主要评价项目建设质量是否达标。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3.检查验收（5分）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主要评价项目检查验收是否按时。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六、项目实施效果（25分）</w:t>
            </w: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1.经济效益（10分）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主要评价项目推动增产增收、降低成本等情况。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2.社会效益（10分）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主要评价项目带动产业发展、就业等情况。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3.其他效益（5分）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主要评价项目促进环境保护、改善生态等情况。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0" w:hRule="atLeast"/>
          <w:jc w:val="right"/>
        </w:trPr>
        <w:tc>
          <w:tcPr>
            <w:tcW w:w="2062" w:type="dxa"/>
            <w:vMerge w:val="restar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七、违规违纪行为</w:t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br w:type="textWrapping"/>
            </w: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（减分指标）</w:t>
            </w:r>
          </w:p>
        </w:tc>
        <w:tc>
          <w:tcPr>
            <w:tcW w:w="2932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1.重大违规违纪（-100）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经监察、审计、财政监督机构等查出存在重大违规违纪行为并造成恶劣影响的，一票否决，按有关规定处理。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  <w:jc w:val="right"/>
        </w:trPr>
        <w:tc>
          <w:tcPr>
            <w:tcW w:w="2062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</w:p>
        </w:tc>
        <w:tc>
          <w:tcPr>
            <w:tcW w:w="2932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楷体_GB2312" w:hAnsi="Arial" w:eastAsia="楷体_GB2312" w:cs="Arial"/>
                <w:b/>
                <w:bCs/>
                <w:kern w:val="0"/>
                <w:sz w:val="24"/>
              </w:rPr>
            </w:pPr>
            <w:r>
              <w:rPr>
                <w:rFonts w:hint="eastAsia" w:ascii="楷体_GB2312" w:hAnsi="Arial" w:eastAsia="楷体_GB2312" w:cs="Arial"/>
                <w:b/>
                <w:bCs/>
                <w:kern w:val="0"/>
                <w:sz w:val="24"/>
              </w:rPr>
              <w:t>2.一般违规违纪（-20分）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宋体" w:hAnsi="宋体" w:cs="Arial"/>
                <w:kern w:val="0"/>
                <w:sz w:val="24"/>
              </w:rPr>
            </w:pPr>
            <w:r>
              <w:rPr>
                <w:rFonts w:hint="eastAsia" w:ascii="宋体" w:hAnsi="宋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>被各种渠道查出存在违规违纪行为，或经群众举报、新闻媒体曝光并经查实的，扣20分。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right"/>
        </w:trPr>
        <w:tc>
          <w:tcPr>
            <w:tcW w:w="499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黑体" w:hAnsi="Arial" w:eastAsia="黑体" w:cs="Arial"/>
                <w:b/>
                <w:bCs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b/>
                <w:bCs/>
                <w:kern w:val="0"/>
                <w:sz w:val="24"/>
              </w:rPr>
              <w:t>总 分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center"/>
              <w:rPr>
                <w:rFonts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432" w:lineRule="auto"/>
              <w:jc w:val="left"/>
              <w:rPr>
                <w:rFonts w:ascii="黑体" w:hAnsi="Arial" w:eastAsia="黑体" w:cs="Arial"/>
                <w:kern w:val="0"/>
                <w:sz w:val="24"/>
              </w:rPr>
            </w:pPr>
            <w:r>
              <w:rPr>
                <w:rFonts w:hint="eastAsia" w:ascii="黑体" w:hAnsi="Arial" w:eastAsia="黑体" w:cs="Arial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right"/>
        </w:trPr>
        <w:tc>
          <w:tcPr>
            <w:tcW w:w="2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宋体" w:hAnsi="宋体" w:cs="Arial"/>
                <w:b/>
                <w:bCs/>
                <w:kern w:val="0"/>
                <w:sz w:val="24"/>
              </w:rPr>
            </w:pPr>
            <w:r>
              <w:rPr>
                <w:rFonts w:hint="eastAsia" w:ascii="宋体" w:hAnsi="宋体" w:cs="Arial"/>
                <w:b/>
                <w:bCs/>
                <w:kern w:val="0"/>
                <w:sz w:val="24"/>
              </w:rPr>
              <w:t>注：</w:t>
            </w:r>
          </w:p>
        </w:tc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center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　</w:t>
            </w:r>
          </w:p>
        </w:tc>
        <w:tc>
          <w:tcPr>
            <w:tcW w:w="34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8"/>
                <w:szCs w:val="28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8"/>
                <w:szCs w:val="28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right"/>
        </w:trPr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  <w:r>
              <w:rPr>
                <w:rFonts w:hint="eastAsia" w:ascii="仿宋_GB2312" w:hAnsi="Arial" w:eastAsia="仿宋_GB2312" w:cs="Arial"/>
                <w:kern w:val="0"/>
                <w:sz w:val="24"/>
              </w:rPr>
              <w:t xml:space="preserve">  1、前六项评价指标总分为100分，第七项指标为减分指标，最后得分为七项指标得分之和。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right"/>
        </w:trPr>
        <w:tc>
          <w:tcPr>
            <w:tcW w:w="9494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>
            <w:pPr>
              <w:widowControl/>
              <w:spacing w:line="432" w:lineRule="auto"/>
              <w:jc w:val="left"/>
              <w:rPr>
                <w:rFonts w:ascii="仿宋_GB2312" w:hAnsi="Arial" w:eastAsia="仿宋_GB2312" w:cs="Arial"/>
                <w:kern w:val="0"/>
                <w:sz w:val="24"/>
              </w:rPr>
            </w:pPr>
          </w:p>
        </w:tc>
      </w:tr>
    </w:tbl>
    <w:p/>
    <w:p>
      <w:pPr>
        <w:pStyle w:val="4"/>
        <w:snapToGrid w:val="0"/>
        <w:spacing w:before="0" w:beforeAutospacing="0" w:after="0" w:afterAutospacing="0" w:line="360" w:lineRule="auto"/>
        <w:rPr>
          <w:rFonts w:hint="eastAsia" w:ascii="楷体_GB2312" w:hAnsi="Arial" w:eastAsia="楷体_GB2312" w:cs="Arial"/>
          <w:sz w:val="30"/>
          <w:szCs w:val="30"/>
        </w:rPr>
      </w:pPr>
    </w:p>
    <w:p>
      <w:pPr>
        <w:rPr>
          <w:rFonts w:hint="eastAsia"/>
        </w:rPr>
      </w:pPr>
    </w:p>
    <w:p>
      <w:pPr>
        <w:spacing w:line="520" w:lineRule="exac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261DD8"/>
    <w:rsid w:val="4B261DD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2016-12-09T03:21:00Z</dcterms:created>
  <dc:creator>banruo</dc:creator>
  <cp:lastModifiedBy>banruo</cp:lastModifiedBy>
  <dcterms:modified xsi:type="dcterms:W3CDTF">2016-12-09T03:21:29Z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