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E1D" w:rsidRDefault="00B21E1D" w:rsidP="00B21E1D">
      <w:pPr>
        <w:spacing w:line="560" w:lineRule="exact"/>
        <w:rPr>
          <w:rFonts w:ascii="黑体" w:eastAsia="黑体" w:hAnsi="华文仿宋" w:hint="eastAsia"/>
          <w:sz w:val="32"/>
          <w:szCs w:val="32"/>
        </w:rPr>
      </w:pPr>
      <w:r w:rsidRPr="003A27AA">
        <w:rPr>
          <w:rFonts w:ascii="黑体" w:eastAsia="黑体" w:hAnsi="华文仿宋" w:hint="eastAsia"/>
          <w:sz w:val="32"/>
          <w:szCs w:val="32"/>
        </w:rPr>
        <w:t>附件3</w:t>
      </w:r>
    </w:p>
    <w:p w:rsidR="00B21E1D" w:rsidRDefault="00B21E1D" w:rsidP="00B21E1D">
      <w:pPr>
        <w:spacing w:line="560" w:lineRule="exact"/>
        <w:jc w:val="center"/>
        <w:rPr>
          <w:rFonts w:ascii="宋体" w:hAnsi="宋体" w:hint="eastAsia"/>
          <w:sz w:val="36"/>
          <w:szCs w:val="36"/>
        </w:rPr>
      </w:pPr>
    </w:p>
    <w:p w:rsidR="00B21E1D" w:rsidRPr="003A27AA" w:rsidRDefault="00B21E1D" w:rsidP="00B21E1D">
      <w:pPr>
        <w:spacing w:line="560" w:lineRule="exact"/>
        <w:jc w:val="center"/>
        <w:rPr>
          <w:rFonts w:ascii="方正小标宋简体" w:eastAsia="方正小标宋简体" w:hAnsi="宋体" w:hint="eastAsia"/>
          <w:sz w:val="40"/>
          <w:szCs w:val="44"/>
        </w:rPr>
      </w:pPr>
      <w:bookmarkStart w:id="0" w:name="_GoBack"/>
      <w:r w:rsidRPr="003A27AA">
        <w:rPr>
          <w:rFonts w:ascii="方正小标宋简体" w:eastAsia="方正小标宋简体" w:hAnsi="宋体" w:hint="eastAsia"/>
          <w:sz w:val="40"/>
          <w:szCs w:val="44"/>
        </w:rPr>
        <w:t>关于</w:t>
      </w:r>
      <w:proofErr w:type="gramStart"/>
      <w:r w:rsidRPr="003A27AA">
        <w:rPr>
          <w:rFonts w:ascii="方正小标宋简体" w:eastAsia="方正小标宋简体" w:hAnsi="宋体" w:hint="eastAsia"/>
          <w:sz w:val="40"/>
          <w:szCs w:val="44"/>
        </w:rPr>
        <w:t>《</w:t>
      </w:r>
      <w:bookmarkStart w:id="1" w:name="title"/>
      <w:proofErr w:type="gramEnd"/>
      <w:r w:rsidRPr="003A27AA">
        <w:rPr>
          <w:rFonts w:ascii="方正小标宋简体" w:eastAsia="方正小标宋简体" w:hAnsi="宋体" w:hint="eastAsia"/>
          <w:sz w:val="40"/>
          <w:szCs w:val="44"/>
        </w:rPr>
        <w:t>北京市地方税务局关于修改&lt;企业所得税</w:t>
      </w:r>
    </w:p>
    <w:p w:rsidR="00B21E1D" w:rsidRPr="003A27AA" w:rsidRDefault="00B21E1D" w:rsidP="00B21E1D">
      <w:pPr>
        <w:spacing w:line="560" w:lineRule="exact"/>
        <w:jc w:val="center"/>
        <w:rPr>
          <w:rFonts w:ascii="方正小标宋简体" w:eastAsia="方正小标宋简体" w:hAnsi="宋体" w:hint="eastAsia"/>
          <w:sz w:val="40"/>
          <w:szCs w:val="44"/>
        </w:rPr>
      </w:pPr>
      <w:r w:rsidRPr="003A27AA">
        <w:rPr>
          <w:rFonts w:ascii="方正小标宋简体" w:eastAsia="方正小标宋简体" w:hAnsi="宋体" w:hint="eastAsia"/>
          <w:sz w:val="40"/>
          <w:szCs w:val="44"/>
        </w:rPr>
        <w:t>核定征收鉴定操作规程&gt;的公告</w:t>
      </w:r>
      <w:bookmarkEnd w:id="1"/>
      <w:proofErr w:type="gramStart"/>
      <w:r w:rsidRPr="003A27AA">
        <w:rPr>
          <w:rFonts w:ascii="方正小标宋简体" w:eastAsia="方正小标宋简体" w:hAnsi="宋体" w:hint="eastAsia"/>
          <w:sz w:val="40"/>
          <w:szCs w:val="44"/>
        </w:rPr>
        <w:t>》</w:t>
      </w:r>
      <w:proofErr w:type="gramEnd"/>
      <w:r w:rsidRPr="003A27AA">
        <w:rPr>
          <w:rFonts w:ascii="方正小标宋简体" w:eastAsia="方正小标宋简体" w:hAnsi="宋体" w:hint="eastAsia"/>
          <w:sz w:val="40"/>
          <w:szCs w:val="44"/>
        </w:rPr>
        <w:t>的政策解读</w:t>
      </w:r>
    </w:p>
    <w:bookmarkEnd w:id="0"/>
    <w:p w:rsidR="00B21E1D" w:rsidRDefault="00B21E1D" w:rsidP="00B21E1D">
      <w:pPr>
        <w:spacing w:line="560" w:lineRule="exact"/>
        <w:ind w:firstLineChars="200" w:firstLine="720"/>
        <w:jc w:val="center"/>
        <w:rPr>
          <w:rFonts w:ascii="宋体" w:hAnsi="宋体" w:hint="eastAsia"/>
          <w:sz w:val="36"/>
          <w:szCs w:val="36"/>
        </w:rPr>
      </w:pPr>
    </w:p>
    <w:p w:rsidR="00B21E1D" w:rsidRPr="003A27AA" w:rsidRDefault="00B21E1D" w:rsidP="00B21E1D">
      <w:pPr>
        <w:spacing w:line="560" w:lineRule="exact"/>
        <w:ind w:firstLineChars="200" w:firstLine="640"/>
        <w:rPr>
          <w:rFonts w:ascii="黑体" w:eastAsia="黑体" w:hAnsi="宋体" w:hint="eastAsia"/>
          <w:sz w:val="32"/>
          <w:szCs w:val="32"/>
        </w:rPr>
      </w:pPr>
      <w:r w:rsidRPr="003A27AA">
        <w:rPr>
          <w:rFonts w:ascii="黑体" w:eastAsia="黑体" w:hAnsi="宋体" w:hint="eastAsia"/>
          <w:sz w:val="32"/>
          <w:szCs w:val="32"/>
        </w:rPr>
        <w:t>一、本公告的出台背景</w:t>
      </w:r>
    </w:p>
    <w:p w:rsidR="00B21E1D" w:rsidRDefault="00B21E1D" w:rsidP="00B21E1D">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为贯彻落实国家税务总局关于企业所得税核定征收范围的新规定，并进一步规范完善核定征收鉴定操作规程的流程文书，特发布本公告。</w:t>
      </w:r>
    </w:p>
    <w:p w:rsidR="00B21E1D" w:rsidRPr="003A27AA" w:rsidRDefault="00B21E1D" w:rsidP="00B21E1D">
      <w:pPr>
        <w:spacing w:line="560" w:lineRule="exact"/>
        <w:ind w:firstLineChars="200" w:firstLine="640"/>
        <w:rPr>
          <w:rFonts w:ascii="黑体" w:eastAsia="黑体" w:hAnsi="宋体" w:hint="eastAsia"/>
          <w:sz w:val="32"/>
          <w:szCs w:val="32"/>
        </w:rPr>
      </w:pPr>
      <w:r w:rsidRPr="003A27AA">
        <w:rPr>
          <w:rFonts w:ascii="黑体" w:eastAsia="黑体" w:hAnsi="宋体" w:hint="eastAsia"/>
          <w:sz w:val="32"/>
          <w:szCs w:val="32"/>
        </w:rPr>
        <w:t>二、为何要在本公告中明确核定征收鉴定工作各个受理环节增加《受理通知书》？</w:t>
      </w:r>
    </w:p>
    <w:p w:rsidR="00B21E1D" w:rsidRPr="00625023" w:rsidRDefault="00B21E1D" w:rsidP="00B21E1D">
      <w:pPr>
        <w:spacing w:line="560" w:lineRule="exact"/>
        <w:ind w:firstLineChars="200" w:firstLine="640"/>
        <w:rPr>
          <w:rFonts w:ascii="仿宋_GB2312" w:eastAsia="仿宋_GB2312" w:hint="eastAsia"/>
          <w:sz w:val="32"/>
          <w:szCs w:val="32"/>
        </w:rPr>
      </w:pPr>
      <w:r w:rsidRPr="00AA6D68">
        <w:rPr>
          <w:rFonts w:ascii="仿宋_GB2312" w:eastAsia="仿宋_GB2312" w:hint="eastAsia"/>
          <w:sz w:val="32"/>
          <w:szCs w:val="32"/>
        </w:rPr>
        <w:t>根据</w:t>
      </w:r>
      <w:r>
        <w:rPr>
          <w:rFonts w:ascii="仿宋_GB2312" w:eastAsia="仿宋_GB2312" w:hAnsi="宋体" w:cs="宋体" w:hint="eastAsia"/>
          <w:color w:val="000000"/>
          <w:kern w:val="0"/>
          <w:sz w:val="32"/>
          <w:szCs w:val="32"/>
        </w:rPr>
        <w:t>《北京市地方税务局关于优化税收业务流程有关问题的公告》（2010年公告第3号）中第一条第（二）款的规定：“对于符合受理条件，但税务机关不能及时办结的涉税事项，由纳税人填写《提交资料清单》，并签字确认后，交税务机关留存。税务机关填制《受理通知书》送交纳税人”，</w:t>
      </w:r>
      <w:r>
        <w:rPr>
          <w:rFonts w:ascii="仿宋_GB2312" w:eastAsia="仿宋_GB2312" w:hint="eastAsia"/>
          <w:sz w:val="32"/>
          <w:szCs w:val="32"/>
        </w:rPr>
        <w:t>为保障纳税人权益，在本公告中规定了在《企业所得税核定征收鉴定操作规程》中的受理环节，主管税务机关应于受理相关资料后制发《受理通知书》送达纳税人，以规范操作流程。</w:t>
      </w:r>
    </w:p>
    <w:p w:rsidR="00B21E1D" w:rsidRPr="003A27AA" w:rsidRDefault="00B21E1D" w:rsidP="00B21E1D">
      <w:pPr>
        <w:spacing w:line="560" w:lineRule="exact"/>
        <w:ind w:firstLineChars="200" w:firstLine="640"/>
        <w:rPr>
          <w:rFonts w:ascii="黑体" w:eastAsia="黑体" w:hAnsi="宋体" w:hint="eastAsia"/>
          <w:sz w:val="32"/>
          <w:szCs w:val="32"/>
        </w:rPr>
      </w:pPr>
      <w:r w:rsidRPr="003A27AA">
        <w:rPr>
          <w:rFonts w:ascii="黑体" w:eastAsia="黑体" w:hAnsi="宋体" w:hint="eastAsia"/>
          <w:sz w:val="32"/>
          <w:szCs w:val="32"/>
        </w:rPr>
        <w:t>三、在</w:t>
      </w:r>
      <w:r w:rsidRPr="003A27AA">
        <w:rPr>
          <w:rFonts w:ascii="黑体" w:eastAsia="黑体" w:hint="eastAsia"/>
          <w:sz w:val="32"/>
          <w:szCs w:val="32"/>
        </w:rPr>
        <w:t>《</w:t>
      </w:r>
      <w:r w:rsidRPr="003A27AA">
        <w:rPr>
          <w:rFonts w:ascii="黑体" w:eastAsia="黑体" w:hAnsi="宋体" w:hint="eastAsia"/>
          <w:sz w:val="32"/>
          <w:szCs w:val="32"/>
        </w:rPr>
        <w:t>企业经营情况说明表》中增加了哪两个行次？</w:t>
      </w:r>
    </w:p>
    <w:p w:rsidR="00B21E1D" w:rsidRDefault="00B21E1D" w:rsidP="00B21E1D">
      <w:pPr>
        <w:spacing w:line="560" w:lineRule="exact"/>
        <w:ind w:firstLineChars="200" w:firstLine="640"/>
        <w:rPr>
          <w:rFonts w:ascii="仿宋_GB2312" w:eastAsia="仿宋_GB2312" w:hint="eastAsia"/>
          <w:sz w:val="32"/>
          <w:szCs w:val="32"/>
        </w:rPr>
      </w:pPr>
      <w:r>
        <w:rPr>
          <w:rFonts w:ascii="仿宋_GB2312" w:eastAsia="仿宋_GB2312" w:hAnsi="宋体" w:cs="宋体" w:hint="eastAsia"/>
          <w:color w:val="000000"/>
          <w:kern w:val="0"/>
          <w:sz w:val="32"/>
          <w:szCs w:val="32"/>
        </w:rPr>
        <w:t>根据《</w:t>
      </w:r>
      <w:r w:rsidRPr="00DF73FA">
        <w:rPr>
          <w:rFonts w:ascii="仿宋_GB2312" w:eastAsia="仿宋_GB2312" w:hAnsi="宋体" w:hint="eastAsia"/>
          <w:sz w:val="32"/>
          <w:szCs w:val="32"/>
        </w:rPr>
        <w:t>国家税务总局关于企业所得税核定征收有关问题的公告</w:t>
      </w:r>
      <w:r>
        <w:rPr>
          <w:rFonts w:ascii="仿宋_GB2312" w:eastAsia="仿宋_GB2312" w:hAnsi="宋体" w:hint="eastAsia"/>
          <w:sz w:val="32"/>
          <w:szCs w:val="32"/>
        </w:rPr>
        <w:t>》（</w:t>
      </w:r>
      <w:r w:rsidRPr="00DF73FA">
        <w:rPr>
          <w:rFonts w:ascii="仿宋_GB2312" w:eastAsia="仿宋_GB2312" w:hAnsi="宋体" w:hint="eastAsia"/>
          <w:sz w:val="32"/>
          <w:szCs w:val="32"/>
        </w:rPr>
        <w:t>国家税务总局公告2012年第27号</w:t>
      </w:r>
      <w:r>
        <w:rPr>
          <w:rFonts w:ascii="仿宋_GB2312" w:eastAsia="仿宋_GB2312" w:hAnsi="宋体" w:hint="eastAsia"/>
          <w:sz w:val="32"/>
          <w:szCs w:val="32"/>
        </w:rPr>
        <w:t>）的规定，</w:t>
      </w:r>
      <w:r w:rsidRPr="009A3BAD">
        <w:rPr>
          <w:rFonts w:ascii="仿宋_GB2312" w:eastAsia="仿宋_GB2312" w:hint="eastAsia"/>
          <w:sz w:val="32"/>
          <w:szCs w:val="32"/>
        </w:rPr>
        <w:t>专门从事股权（股票）投资业务企业</w:t>
      </w:r>
      <w:r>
        <w:rPr>
          <w:rFonts w:ascii="仿宋_GB2312" w:eastAsia="仿宋_GB2312" w:hint="eastAsia"/>
          <w:sz w:val="32"/>
          <w:szCs w:val="32"/>
        </w:rPr>
        <w:t>不得实行企业所得税核定征</w:t>
      </w:r>
      <w:r>
        <w:rPr>
          <w:rFonts w:ascii="仿宋_GB2312" w:eastAsia="仿宋_GB2312" w:hint="eastAsia"/>
          <w:sz w:val="32"/>
          <w:szCs w:val="32"/>
        </w:rPr>
        <w:lastRenderedPageBreak/>
        <w:t>收方式。为落实国家税务总局这一新规定，本公告对《北京市地方税务局关于发布〈企业所得税核定征收鉴定操作规程〉的公告》（2011年第3号公告）中要求纳税填报的《</w:t>
      </w:r>
      <w:r w:rsidRPr="009B77E6">
        <w:rPr>
          <w:rFonts w:ascii="仿宋_GB2312" w:eastAsia="仿宋_GB2312" w:hAnsi="宋体" w:hint="eastAsia"/>
          <w:sz w:val="32"/>
          <w:szCs w:val="32"/>
        </w:rPr>
        <w:t>企业经营情况说明</w:t>
      </w:r>
      <w:r>
        <w:rPr>
          <w:rFonts w:ascii="仿宋_GB2312" w:eastAsia="仿宋_GB2312" w:hAnsi="宋体" w:hint="eastAsia"/>
          <w:sz w:val="32"/>
          <w:szCs w:val="32"/>
        </w:rPr>
        <w:t>表》中增加了“</w:t>
      </w:r>
      <w:r w:rsidRPr="009A3BAD">
        <w:rPr>
          <w:rFonts w:ascii="仿宋_GB2312" w:eastAsia="仿宋_GB2312" w:hint="eastAsia"/>
          <w:sz w:val="32"/>
          <w:szCs w:val="32"/>
        </w:rPr>
        <w:t>专门从事股权（股票）投资业务企业</w:t>
      </w:r>
      <w:r>
        <w:rPr>
          <w:rFonts w:ascii="仿宋_GB2312" w:eastAsia="仿宋_GB2312" w:hint="eastAsia"/>
          <w:sz w:val="32"/>
          <w:szCs w:val="32"/>
        </w:rPr>
        <w:t>。”一行，以便纳税人填报；同时增加了“</w:t>
      </w:r>
      <w:r w:rsidRPr="009A3BAD">
        <w:rPr>
          <w:rFonts w:ascii="仿宋_GB2312" w:eastAsia="仿宋_GB2312" w:hint="eastAsia"/>
          <w:sz w:val="32"/>
          <w:szCs w:val="32"/>
        </w:rPr>
        <w:t>其他国家税务总局规定的不得采用核定征收方式的企业</w:t>
      </w:r>
      <w:r>
        <w:rPr>
          <w:rFonts w:ascii="仿宋_GB2312" w:eastAsia="仿宋_GB2312" w:hint="eastAsia"/>
          <w:sz w:val="32"/>
          <w:szCs w:val="32"/>
        </w:rPr>
        <w:t>”一行，以备纳税人在国家税务总局今后明确其他不得采用核定征收企业范围时进行填报。</w:t>
      </w:r>
    </w:p>
    <w:p w:rsidR="00B21E1D" w:rsidRPr="0005734A" w:rsidRDefault="00B21E1D" w:rsidP="00B21E1D">
      <w:pPr>
        <w:spacing w:line="560" w:lineRule="exact"/>
        <w:ind w:firstLineChars="200" w:firstLine="640"/>
        <w:rPr>
          <w:rFonts w:ascii="宋体" w:hAnsi="宋体" w:hint="eastAsia"/>
          <w:sz w:val="32"/>
          <w:szCs w:val="32"/>
        </w:rPr>
      </w:pPr>
    </w:p>
    <w:p w:rsidR="00B21E1D" w:rsidRPr="001D4F0A" w:rsidRDefault="00B21E1D" w:rsidP="00B21E1D">
      <w:pPr>
        <w:spacing w:line="560" w:lineRule="exact"/>
        <w:ind w:firstLineChars="200" w:firstLine="640"/>
        <w:rPr>
          <w:rFonts w:ascii="仿宋_GB2312" w:eastAsia="仿宋_GB2312" w:hAnsi="宋体" w:hint="eastAsia"/>
          <w:sz w:val="32"/>
          <w:szCs w:val="32"/>
        </w:rPr>
      </w:pPr>
    </w:p>
    <w:p w:rsidR="00B21E1D" w:rsidRDefault="00B21E1D" w:rsidP="00B21E1D">
      <w:pPr>
        <w:spacing w:line="440" w:lineRule="exact"/>
        <w:jc w:val="left"/>
        <w:rPr>
          <w:rFonts w:ascii="仿宋_GB2312" w:eastAsia="仿宋_GB2312" w:hint="eastAsia"/>
          <w:sz w:val="32"/>
          <w:szCs w:val="32"/>
        </w:rPr>
      </w:pPr>
    </w:p>
    <w:p w:rsidR="00B21E1D" w:rsidRDefault="00B21E1D" w:rsidP="00B21E1D">
      <w:pPr>
        <w:spacing w:line="440" w:lineRule="exact"/>
        <w:jc w:val="left"/>
        <w:rPr>
          <w:rFonts w:ascii="仿宋_GB2312" w:eastAsia="仿宋_GB2312" w:hint="eastAsia"/>
          <w:sz w:val="32"/>
          <w:szCs w:val="32"/>
        </w:rPr>
      </w:pPr>
    </w:p>
    <w:p w:rsidR="00B21E1D" w:rsidRDefault="00B21E1D" w:rsidP="00B21E1D">
      <w:pPr>
        <w:spacing w:line="440" w:lineRule="exact"/>
        <w:jc w:val="left"/>
        <w:rPr>
          <w:rFonts w:ascii="仿宋_GB2312" w:eastAsia="仿宋_GB2312" w:hint="eastAsia"/>
          <w:sz w:val="32"/>
          <w:szCs w:val="32"/>
        </w:rPr>
      </w:pPr>
    </w:p>
    <w:p w:rsidR="00B21E1D" w:rsidRDefault="00B21E1D" w:rsidP="00B21E1D">
      <w:pPr>
        <w:spacing w:line="440" w:lineRule="exact"/>
        <w:jc w:val="left"/>
        <w:rPr>
          <w:rFonts w:ascii="仿宋_GB2312" w:eastAsia="仿宋_GB2312" w:hint="eastAsia"/>
          <w:sz w:val="32"/>
          <w:szCs w:val="32"/>
        </w:rPr>
      </w:pPr>
    </w:p>
    <w:p w:rsidR="00B21E1D" w:rsidRDefault="00B21E1D" w:rsidP="00B21E1D">
      <w:pPr>
        <w:spacing w:line="440" w:lineRule="exact"/>
        <w:jc w:val="left"/>
        <w:rPr>
          <w:rFonts w:ascii="仿宋_GB2312" w:eastAsia="仿宋_GB2312" w:hint="eastAsia"/>
          <w:sz w:val="32"/>
          <w:szCs w:val="32"/>
        </w:rPr>
      </w:pPr>
    </w:p>
    <w:p w:rsidR="00B21E1D" w:rsidRDefault="00B21E1D" w:rsidP="00B21E1D">
      <w:pPr>
        <w:spacing w:line="440" w:lineRule="exact"/>
        <w:jc w:val="left"/>
        <w:rPr>
          <w:rFonts w:ascii="仿宋_GB2312" w:eastAsia="仿宋_GB2312" w:hint="eastAsia"/>
          <w:sz w:val="32"/>
          <w:szCs w:val="32"/>
        </w:rPr>
      </w:pPr>
    </w:p>
    <w:p w:rsidR="00B21E1D" w:rsidRDefault="00B21E1D" w:rsidP="00B21E1D">
      <w:pPr>
        <w:spacing w:line="440" w:lineRule="exact"/>
        <w:jc w:val="left"/>
        <w:rPr>
          <w:rFonts w:ascii="仿宋_GB2312" w:eastAsia="仿宋_GB2312" w:hint="eastAsia"/>
          <w:sz w:val="32"/>
          <w:szCs w:val="32"/>
        </w:rPr>
      </w:pPr>
    </w:p>
    <w:p w:rsidR="00B21E1D" w:rsidRDefault="00B21E1D" w:rsidP="00B21E1D">
      <w:pPr>
        <w:spacing w:line="440" w:lineRule="exact"/>
        <w:jc w:val="left"/>
        <w:rPr>
          <w:rFonts w:ascii="仿宋_GB2312" w:eastAsia="仿宋_GB2312" w:hint="eastAsia"/>
          <w:sz w:val="32"/>
          <w:szCs w:val="32"/>
        </w:rPr>
      </w:pPr>
    </w:p>
    <w:p w:rsidR="00B21E1D" w:rsidRDefault="00B21E1D" w:rsidP="00B21E1D">
      <w:pPr>
        <w:spacing w:line="440" w:lineRule="exact"/>
        <w:jc w:val="left"/>
        <w:rPr>
          <w:rFonts w:ascii="仿宋_GB2312" w:eastAsia="仿宋_GB2312" w:hint="eastAsia"/>
          <w:sz w:val="32"/>
          <w:szCs w:val="32"/>
        </w:rPr>
      </w:pPr>
    </w:p>
    <w:p w:rsidR="00B21E1D" w:rsidRDefault="00B21E1D" w:rsidP="00B21E1D">
      <w:pPr>
        <w:spacing w:line="440" w:lineRule="exact"/>
        <w:jc w:val="left"/>
        <w:rPr>
          <w:rFonts w:ascii="仿宋_GB2312" w:eastAsia="仿宋_GB2312" w:hint="eastAsia"/>
          <w:sz w:val="32"/>
          <w:szCs w:val="32"/>
        </w:rPr>
      </w:pPr>
    </w:p>
    <w:p w:rsidR="00F03DC9" w:rsidRPr="00B21E1D" w:rsidRDefault="00B21E1D"/>
    <w:sectPr w:rsidR="00F03DC9" w:rsidRPr="00B21E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8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方正小标宋简体">
    <w:altName w:val="宋体"/>
    <w:charset w:val="86"/>
    <w:family w:val="auto"/>
    <w:pitch w:val="variable"/>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E1D"/>
    <w:rsid w:val="00637332"/>
    <w:rsid w:val="009D5B97"/>
    <w:rsid w:val="00AF6100"/>
    <w:rsid w:val="00B21E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945D28-47F2-4174-A1A9-51E5189DD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1E1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1CharCharChar">
    <w:name w:val="Char Char1 Char Char Char"/>
    <w:basedOn w:val="a3"/>
    <w:autoRedefine/>
    <w:rsid w:val="00B21E1D"/>
    <w:pPr>
      <w:shd w:val="clear" w:color="auto" w:fill="000080"/>
    </w:pPr>
    <w:rPr>
      <w:rFonts w:ascii="Tahoma" w:eastAsia="宋体" w:hAnsi="Tahoma"/>
      <w:sz w:val="24"/>
      <w:szCs w:val="24"/>
    </w:rPr>
  </w:style>
  <w:style w:type="paragraph" w:styleId="a3">
    <w:name w:val="Document Map"/>
    <w:basedOn w:val="a"/>
    <w:link w:val="Char"/>
    <w:uiPriority w:val="99"/>
    <w:semiHidden/>
    <w:unhideWhenUsed/>
    <w:rsid w:val="00B21E1D"/>
    <w:rPr>
      <w:rFonts w:ascii="Microsoft YaHei UI" w:eastAsia="Microsoft YaHei UI"/>
      <w:sz w:val="18"/>
      <w:szCs w:val="18"/>
    </w:rPr>
  </w:style>
  <w:style w:type="character" w:customStyle="1" w:styleId="Char">
    <w:name w:val="文档结构图 Char"/>
    <w:basedOn w:val="a0"/>
    <w:link w:val="a3"/>
    <w:uiPriority w:val="99"/>
    <w:semiHidden/>
    <w:rsid w:val="00B21E1D"/>
    <w:rPr>
      <w:rFonts w:ascii="Microsoft YaHei UI" w:eastAsia="Microsoft YaHei UI"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101</Words>
  <Characters>579</Characters>
  <Application>Microsoft Office Word</Application>
  <DocSecurity>0</DocSecurity>
  <Lines>4</Lines>
  <Paragraphs>1</Paragraphs>
  <ScaleCrop>false</ScaleCrop>
  <Company/>
  <LinksUpToDate>false</LinksUpToDate>
  <CharactersWithSpaces>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LongLong</dc:creator>
  <cp:keywords/>
  <dc:description/>
  <cp:lastModifiedBy>LongLong</cp:lastModifiedBy>
  <cp:revision>1</cp:revision>
  <dcterms:created xsi:type="dcterms:W3CDTF">2016-11-29T08:40:00Z</dcterms:created>
  <dcterms:modified xsi:type="dcterms:W3CDTF">2016-11-29T08:42:00Z</dcterms:modified>
</cp:coreProperties>
</file>