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cs="宋体"/>
          <w:kern w:val="0"/>
          <w:sz w:val="18"/>
          <w:szCs w:val="18"/>
        </w:rPr>
      </w:pPr>
      <w:r>
        <w:rPr>
          <w:rFonts w:hint="eastAsia" w:ascii="仿宋_GB2312" w:cs="宋体"/>
          <w:kern w:val="0"/>
        </w:rPr>
        <w:t>附件2</w:t>
      </w:r>
      <w:r>
        <w:rPr>
          <w:rFonts w:hint="eastAsia" w:cs="宋体"/>
          <w:kern w:val="0"/>
          <w:sz w:val="24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2012年前已建和规划新建餐厨垃圾集中处理设施表</w:t>
      </w:r>
    </w:p>
    <w:bookmarkEnd w:id="0"/>
    <w:tbl>
      <w:tblPr>
        <w:tblStyle w:val="3"/>
        <w:tblW w:w="14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18"/>
        <w:gridCol w:w="4012"/>
        <w:gridCol w:w="2268"/>
        <w:gridCol w:w="1276"/>
        <w:gridCol w:w="1276"/>
        <w:gridCol w:w="1227"/>
        <w:gridCol w:w="121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tblHeader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区域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建设地点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用地面积</w:t>
            </w:r>
          </w:p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（公顷）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投资</w:t>
            </w:r>
            <w:r>
              <w:rPr>
                <w:rFonts w:hint="eastAsia"/>
                <w:b/>
                <w:sz w:val="24"/>
              </w:rPr>
              <w:t>估算</w:t>
            </w: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元）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建设规模</w:t>
            </w:r>
          </w:p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（吨/日）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动工时间</w:t>
            </w:r>
            <w:r>
              <w:rPr>
                <w:rFonts w:hint="eastAsia"/>
                <w:b/>
                <w:sz w:val="24"/>
                <w:lang w:val="en-GB"/>
              </w:rPr>
              <w:t>（年）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完工时间</w:t>
            </w: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GB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东城区餐厨垃圾处理站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东城区玉蜓桥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2010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已运行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33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通州董村餐厨垃圾处理厂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通州区次渠镇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5620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2010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西城区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北部：大屯餐厨垃圾处理厂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朝阳区大屯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2011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南部：南宫餐厨垃圾处理厂（扩建）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大兴区青云店镇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2011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高安屯餐厨垃圾处理厂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朝阳区金盏乡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2009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已运行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海淀区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北部：海淀区大工村餐厨垃圾处理厂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海淀区大工村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2012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南部：鲁家山餐厨垃圾处理厂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门头沟区鲁家山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2012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丰台区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东部：生活垃圾循环经济产业园餐厨（厨余）垃圾处理厂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丰台区北天堂村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2.73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30000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2013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西部：鲁家山餐厨垃圾处理厂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门头沟区鲁家山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2012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石景山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北部：五里坨餐厨垃圾处理厂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石景山区五里坨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8500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2011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南部：鲁家山餐厨垃圾处理厂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门头沟区鲁家山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2012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门头沟区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鲁家山餐厨垃圾处理厂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门头沟区鲁家山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2012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房山餐厨垃圾处理站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房山区良乡镇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2010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已运行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通州董村餐厨垃圾处理厂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通州区次渠镇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5620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2010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顺义有机废弃物处理厂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顺义区杨镇庞山村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2011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昌平区南邵镇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2010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已运行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沙河餐厨垃圾处理厂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昌平区沙河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2011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大兴南宫餐厨垃圾处理厂（扩建）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大兴区青云店镇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2011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平谷区平谷镇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2009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已运行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怀柔餐厨处理厂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怀柔区庙城镇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2009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已运行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密云县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密云生活垃圾综合处理厂（含餐厨垃圾处理）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密云县河南寨镇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—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2010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延庆县餐厨垃圾处理厂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大榆树镇小张家口村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2011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031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新建设施占地面积及投资估算合计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25.03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105120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3040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sz w:val="24"/>
              </w:rPr>
              <w:t>—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sz w:val="24"/>
              </w:rPr>
              <w:t>—</w:t>
            </w:r>
          </w:p>
        </w:tc>
      </w:tr>
    </w:tbl>
    <w:p>
      <w:pPr>
        <w:snapToGrid w:val="0"/>
        <w:spacing w:line="300" w:lineRule="auto"/>
        <w:ind w:left="-1104" w:leftChars="-345" w:firstLine="474" w:firstLineChars="148"/>
        <w:rPr>
          <w:rFonts w:ascii="仿宋_GB2312"/>
        </w:rPr>
        <w:sectPr>
          <w:pgSz w:w="16838" w:h="11906" w:orient="landscape"/>
          <w:pgMar w:top="1134" w:right="1247" w:bottom="1134" w:left="1247" w:header="851" w:footer="1418" w:gutter="0"/>
          <w:cols w:space="425" w:num="1"/>
          <w:docGrid w:type="lines" w:linePitch="312" w:charSpace="0"/>
        </w:sectPr>
      </w:pPr>
    </w:p>
    <w:p>
      <w:pPr>
        <w:snapToGrid w:val="0"/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D027B"/>
    <w:rsid w:val="441D02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napToGrid w:val="0"/>
      <w:kern w:val="3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2016-11-21T07:49:00Z</dcterms:created>
  <dc:creator>banruo</dc:creator>
  <cp:lastModifiedBy>banruo</cp:lastModifiedBy>
  <dcterms:modified xsi:type="dcterms:W3CDTF">2016-11-21T07:49:49Z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