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416" w:type="dxa"/>
        <w:tblInd w:w="108" w:type="dxa"/>
        <w:tblLayout w:type="fixed"/>
        <w:tblCellMar>
          <w:top w:w="0" w:type="dxa"/>
          <w:left w:w="108" w:type="dxa"/>
          <w:bottom w:w="0" w:type="dxa"/>
          <w:right w:w="108" w:type="dxa"/>
        </w:tblCellMar>
      </w:tblPr>
      <w:tblGrid>
        <w:gridCol w:w="344"/>
        <w:gridCol w:w="2223"/>
        <w:gridCol w:w="737"/>
        <w:gridCol w:w="663"/>
        <w:gridCol w:w="2226"/>
        <w:gridCol w:w="2223"/>
      </w:tblGrid>
      <w:tr>
        <w:tblPrEx>
          <w:tblLayout w:type="fixed"/>
          <w:tblCellMar>
            <w:top w:w="0" w:type="dxa"/>
            <w:left w:w="108" w:type="dxa"/>
            <w:bottom w:w="0" w:type="dxa"/>
            <w:right w:w="108" w:type="dxa"/>
          </w:tblCellMar>
        </w:tblPrEx>
        <w:trPr>
          <w:trHeight w:val="510" w:hRule="atLeast"/>
        </w:trPr>
        <w:tc>
          <w:tcPr>
            <w:tcW w:w="6193" w:type="dxa"/>
            <w:gridSpan w:val="5"/>
            <w:tcBorders>
              <w:top w:val="nil"/>
              <w:left w:val="nil"/>
              <w:bottom w:val="single" w:color="auto" w:sz="4" w:space="0"/>
              <w:right w:val="nil"/>
            </w:tcBorders>
            <w:shd w:val="clear" w:color="auto" w:fill="auto"/>
            <w:vAlign w:val="center"/>
          </w:tcPr>
          <w:p>
            <w:pPr>
              <w:widowControl/>
              <w:jc w:val="center"/>
              <w:rPr>
                <w:rFonts w:ascii="黑体" w:hAnsi="宋体" w:eastAsia="黑体" w:cs="宋体"/>
                <w:b/>
                <w:bCs/>
                <w:kern w:val="0"/>
                <w:sz w:val="40"/>
                <w:szCs w:val="40"/>
              </w:rPr>
            </w:pPr>
            <w:bookmarkStart w:id="0" w:name="_GoBack"/>
            <w:r>
              <w:rPr>
                <w:rFonts w:hint="eastAsia" w:ascii="黑体" w:hAnsi="宋体" w:eastAsia="黑体" w:cs="宋体"/>
                <w:b/>
                <w:bCs/>
                <w:kern w:val="0"/>
                <w:sz w:val="40"/>
                <w:szCs w:val="40"/>
              </w:rPr>
              <w:t>北京市地方税务局部分失效废止的税收规范性文件目录</w:t>
            </w:r>
            <w:bookmarkEnd w:id="0"/>
          </w:p>
        </w:tc>
        <w:tc>
          <w:tcPr>
            <w:tcW w:w="2223" w:type="dxa"/>
            <w:tcBorders>
              <w:top w:val="nil"/>
              <w:left w:val="nil"/>
              <w:bottom w:val="single" w:color="auto" w:sz="4" w:space="0"/>
              <w:right w:val="nil"/>
            </w:tcBorders>
            <w:shd w:val="clear" w:color="auto" w:fill="auto"/>
            <w:vAlign w:val="center"/>
          </w:tcPr>
          <w:p>
            <w:pPr>
              <w:widowControl/>
              <w:jc w:val="center"/>
              <w:rPr>
                <w:rFonts w:hint="eastAsia" w:ascii="黑体" w:hAnsi="宋体" w:eastAsia="黑体" w:cs="宋体"/>
                <w:b/>
                <w:bCs/>
                <w:kern w:val="0"/>
                <w:sz w:val="40"/>
                <w:szCs w:val="40"/>
              </w:rPr>
            </w:pPr>
          </w:p>
        </w:tc>
      </w:tr>
      <w:tr>
        <w:tblPrEx>
          <w:tblLayout w:type="fixed"/>
          <w:tblCellMar>
            <w:top w:w="0" w:type="dxa"/>
            <w:left w:w="108" w:type="dxa"/>
            <w:bottom w:w="0" w:type="dxa"/>
            <w:right w:w="108" w:type="dxa"/>
          </w:tblCellMar>
        </w:tblPrEx>
        <w:trPr>
          <w:trHeight w:val="702"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b/>
                <w:bCs/>
                <w:kern w:val="0"/>
                <w:sz w:val="28"/>
                <w:szCs w:val="28"/>
              </w:rPr>
            </w:pPr>
            <w:r>
              <w:rPr>
                <w:rFonts w:hint="eastAsia" w:ascii="黑体" w:hAnsi="宋体" w:eastAsia="黑体" w:cs="宋体"/>
                <w:b/>
                <w:bCs/>
                <w:kern w:val="0"/>
                <w:sz w:val="28"/>
                <w:szCs w:val="28"/>
              </w:rPr>
              <w:t>序号</w:t>
            </w:r>
          </w:p>
        </w:tc>
        <w:tc>
          <w:tcPr>
            <w:tcW w:w="222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kern w:val="0"/>
                <w:sz w:val="28"/>
                <w:szCs w:val="28"/>
              </w:rPr>
            </w:pPr>
            <w:r>
              <w:rPr>
                <w:rFonts w:hint="eastAsia" w:ascii="黑体" w:hAnsi="宋体" w:eastAsia="黑体" w:cs="宋体"/>
                <w:b/>
                <w:bCs/>
                <w:kern w:val="0"/>
                <w:sz w:val="28"/>
                <w:szCs w:val="28"/>
              </w:rPr>
              <w:t>文件标题</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kern w:val="0"/>
                <w:sz w:val="28"/>
                <w:szCs w:val="28"/>
              </w:rPr>
            </w:pPr>
            <w:r>
              <w:rPr>
                <w:rFonts w:hint="eastAsia" w:ascii="黑体" w:hAnsi="宋体" w:eastAsia="黑体" w:cs="宋体"/>
                <w:b/>
                <w:bCs/>
                <w:kern w:val="0"/>
                <w:sz w:val="28"/>
                <w:szCs w:val="28"/>
              </w:rPr>
              <w:t>文号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kern w:val="0"/>
                <w:sz w:val="28"/>
                <w:szCs w:val="28"/>
              </w:rPr>
            </w:pPr>
            <w:r>
              <w:rPr>
                <w:rFonts w:ascii="黑体" w:hAnsi="宋体" w:eastAsia="黑体" w:cs="宋体"/>
                <w:b/>
                <w:bCs/>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0" cy="19050"/>
                      <wp:effectExtent l="0" t="0" r="0" b="0"/>
                      <wp:wrapNone/>
                      <wp:docPr id="1" name="自选图形 2"/>
                      <wp:cNvGraphicFramePr/>
                      <a:graphic xmlns:a="http://schemas.openxmlformats.org/drawingml/2006/main">
                        <a:graphicData uri="http://schemas.microsoft.com/office/word/2010/wordprocessingShape">
                          <wps:wsp>
                            <wps:cNvSpPr/>
                            <wps:spPr>
                              <a:xfrm>
                                <a:off x="0" y="0"/>
                                <a:ext cx="0" cy="19050"/>
                              </a:xfrm>
                              <a:prstGeom prst="downArrow">
                                <a:avLst>
                                  <a:gd name="adj1" fmla="val 50000"/>
                                  <a:gd name="adj2" fmla="val -2147483648"/>
                                </a:avLst>
                              </a:prstGeom>
                              <a:solidFill>
                                <a:srgbClr val="808080"/>
                              </a:solidFill>
                              <a:ln w="9525">
                                <a:noFill/>
                                <a:miter/>
                              </a:ln>
                            </wps:spPr>
                            <wps:bodyPr vert="mongolianVert" upright="1"/>
                          </wps:wsp>
                        </a:graphicData>
                      </a:graphic>
                    </wp:anchor>
                  </w:drawing>
                </mc:Choice>
                <mc:Fallback>
                  <w:pict>
                    <v:shape id="自选图形 2" o:spid="_x0000_s1026" o:spt="67" type="#_x0000_t67" style="position:absolute;left:0pt;margin-left:0pt;margin-top:0pt;height:1.5pt;width:0pt;z-index:251661312;mso-width-relative:page;mso-height-relative:page;" fillcolor="#808080" filled="t" stroked="f" o:insetmode="auto" coordsize="21600,21600" o:gfxdata="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135q0AAAAAABAAAPAAAAAAAA&#10;AAEAIAAAACIAAABkcnMvZG93bnJldi54bWxQSwECFAAUAAAACACHTuJAF7OoI+EBAACUAwAADgAA&#10;AAAAAAABACAAAAAfAQAAZHJzL2Uyb0RvYy54bWxQSwUGAAAAAAYABgBZAQAAcgUAAAAA&#10;" adj="21600,5400">
                      <v:fill on="t" focussize="0,0"/>
                      <v:stroke on="f" joinstyle="miter"/>
                      <v:imagedata o:title=""/>
                      <o:lock v:ext="edit" aspectratio="f"/>
                      <v:textbox style="layout-flow:vertical;mso-layout-flow-alt:top-to-bottom;"/>
                    </v:shape>
                  </w:pict>
                </mc:Fallback>
              </mc:AlternateContent>
            </w:r>
            <w:r>
              <w:rPr>
                <w:rFonts w:hint="eastAsia" w:ascii="黑体" w:hAnsi="宋体" w:eastAsia="黑体" w:cs="宋体"/>
                <w:b/>
                <w:bCs/>
                <w:kern w:val="0"/>
                <w:sz w:val="28"/>
                <w:szCs w:val="28"/>
              </w:rPr>
              <w:t>发文日期</w:t>
            </w:r>
          </w:p>
        </w:tc>
        <w:tc>
          <w:tcPr>
            <w:tcW w:w="222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b/>
                <w:bCs/>
                <w:kern w:val="0"/>
                <w:sz w:val="28"/>
                <w:szCs w:val="28"/>
              </w:rPr>
            </w:pPr>
            <w:r>
              <w:rPr>
                <w:rFonts w:hint="eastAsia" w:ascii="黑体" w:hAnsi="宋体" w:eastAsia="黑体" w:cs="宋体"/>
                <w:b/>
                <w:bCs/>
                <w:kern w:val="0"/>
                <w:sz w:val="28"/>
                <w:szCs w:val="28"/>
              </w:rPr>
              <w:t>失效或废止条款</w:t>
            </w:r>
          </w:p>
        </w:tc>
        <w:tc>
          <w:tcPr>
            <w:tcW w:w="2223"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b/>
                <w:bCs/>
                <w:kern w:val="0"/>
                <w:sz w:val="28"/>
                <w:szCs w:val="28"/>
              </w:rPr>
            </w:pPr>
          </w:p>
        </w:tc>
      </w:tr>
      <w:tr>
        <w:tblPrEx>
          <w:tblLayout w:type="fixed"/>
          <w:tblCellMar>
            <w:top w:w="0" w:type="dxa"/>
            <w:left w:w="108" w:type="dxa"/>
            <w:bottom w:w="0" w:type="dxa"/>
            <w:right w:w="108" w:type="dxa"/>
          </w:tblCellMar>
        </w:tblPrEx>
        <w:trPr>
          <w:trHeight w:val="76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北京市税务局关于转发北京市人民政府转发国务院关于发布征收教育费附加的暂行规定的通知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市税三字[1986]551号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19860712</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第一条中“市政府京政发〔1985〕155号文件”的内容废止,第四条废止。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6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北京市税务局关于转发财政部国家税务总局关于转发关于房产税若干具体问题的解释和暂行规定、关于车船使用税若干具体问题的解释和暂行规定的通知的通知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市税三字[1987]124号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19870210</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第一条第一款、第十款、第十二款、第十六款失效。</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6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北京市税务局转发财政部税务总局《关于房产税和车船使用税几个业务问题的解释与规定》的通知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市税三字[1987]334号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19870423</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第二条废止。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3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北京市税务局关于房产税、车船使用税几个税政业务问题的通知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市税三字[1987]834号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19870925</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第十条废止。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5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北京市税务局转发国家税务局《关于检发＜关于土地使用税若干具体问题的解释和暂行规定＞的通知》的通知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市税三字[1989]56号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19890118</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第五条废止。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5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北京市税务局关于对本市保险合同缴纳印花税问题的通知</w:t>
            </w:r>
          </w:p>
        </w:tc>
        <w:tc>
          <w:tcPr>
            <w:tcW w:w="737"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市税三字[1989]392号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19890508</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第四条第二款失效。</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144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北京市税务局转发市人民政府关于《北京市社会福利企业管理暂行办法》的通知</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京税二字[1989]408号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19890515</w:t>
            </w:r>
          </w:p>
        </w:tc>
        <w:tc>
          <w:tcPr>
            <w:tcW w:w="2226" w:type="dxa"/>
            <w:tcBorders>
              <w:top w:val="nil"/>
              <w:left w:val="nil"/>
              <w:bottom w:val="nil"/>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文中“关于社会福利企业免税范围，仍按照市局（82）市税二字第50号及（82）市税二字第722号文件规定执行。即：对民政部门举办的福利企业及市城市生产服务合作总社和市劳动服务公司系统所属集体企业安置盲、聋、哑残人员达到规定比例的，可给予减免税照顾。非民政部门（其它企、事业单位和人民团体）举办的集体所有制福利生产单位，纳税有困难的，应由举办单位报经市民政局签署意见，转市税务局批准，酌情给予减免税照顾。”的内容失效。</w:t>
            </w:r>
          </w:p>
        </w:tc>
        <w:tc>
          <w:tcPr>
            <w:tcW w:w="2223" w:type="dxa"/>
            <w:tcBorders>
              <w:top w:val="nil"/>
              <w:left w:val="nil"/>
              <w:bottom w:val="nil"/>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85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北京市税务局北京市工商行政管理局转发国家税务局国家工商行政管理局《关于营业执照、商标注册证粘贴印花税票问题的通知》的通知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市税三字[1989]1046号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19891225</w:t>
            </w:r>
          </w:p>
        </w:tc>
        <w:tc>
          <w:tcPr>
            <w:tcW w:w="22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第三条废止。</w:t>
            </w:r>
          </w:p>
        </w:tc>
        <w:tc>
          <w:tcPr>
            <w:tcW w:w="22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9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北京市税务局关于在京郊部分地区设置街道办事处和建制镇后有关税收问题的通知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京税三字[1990]313号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19900504</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第二条中“车船使用税”的内容废止。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9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北京市税务局转发国家税务局《关于对实行自收自支的事业单位恢复征收房产税和车船使用税的通知》的通知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京税三字[1990]365号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19900528</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文中“对1990年以前实行自收自支并已享受过免征房产税三年照顾的事业单位，停止执行（87）市税三字第124号文件中关于房产税的问题第12条。”的内容失效。</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84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11</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北京市税务局转发国家税务局《关于货运凭证征收印花税几个具体问题的通知》的通知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京税三字[1990]776号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19901127</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第五条第二款“对于代扣汇缴单位取得的上述手续费免征营业税”的内容废止。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81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12</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北京市税务局关于委托办理运费结算单位代扣公路货运凭证应纳印花税的通知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京税三字[1991]328号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19910507</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第一条、第四条、第五条、第八条废止。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13</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北京市税务局关于对本市博物馆、展览馆等事业单位出租房屋场馆用地计征土地使用税问题的通知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京税三[1992]108号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19920212</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第三条第三款失效。</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0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14</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北京市税务局转发《北京市实施&lt;中华人民共和国城镇国有土地使用权出让和转让暂行条例&gt;办法》的通知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京税三[1993]499号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19930726</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第四条第四款、第五条废止。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3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15</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北京市税务局转发《国家税务局关于安徽省若干房产税业务问题的批复》的通知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京税三[1993]806号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19931214</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第二条废止。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5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16</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北京市税务局转发财政部《关于印发〈中华人民共和国营业税暂行条例实施细则〉的通知》等两份文件的通知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京税一[1994]45号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19940118</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第二条、第三条、第五条、第九条废止。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9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17</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北京市税务局转发财政部、国家税务总局《关于个人所得税若干政策问题的通知》的通知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京税五[1994]375号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19940617</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第一条第二款、第二条、第四条、第六条废止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8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18</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北京市地方税务局转发国家税务总局关于个人对企事业单位实行承包经营、承租经营取得所得征税问题的通知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京地税个[1994]97号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19941113</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第二条废止。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19</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北京市地方税务局北京市国家税务局关于征收城市维护建设税有关问题的联合通知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京地税一[1994]151号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19941122</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第二条废止。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北京市地方税务局关于1995年1月1日起本市城市维护建设税由地方税务局征收的通告</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京地税[1994]5号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19941212</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第一条中“个体工商户和集贸市场随增值税、消费税、营业税附征的城市维护建设税仍由国家税务局系统负责征收”的内容废止,第三条废止。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0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21</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北京市地方税务局关于个人所得税若干政策问题的通知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京地税个[1994]187号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19941217</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第二条第一款、第三条废止。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9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22</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 xml:space="preserve">北京市地方税务局北京市社会福利有奖募捐委员会关于民政部门发行社会福利彩票交纳个人所得税的通知 </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京地税个[1995]36号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19950109</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第二条；第三条；第四条；第五条及附件废止。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6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23</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北京市地方税务局转发国家税务总局关于印发《个人所得税代扣代缴暂行办法》和《个人所得税自行申报纳税暂行办法》的通知的通知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京地税个[1995]311号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19950623</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第六条、第八条、第九条、第十条、第十一条、第十二条废止。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81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24</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北京市地方税务局关于土地增值税若干征收管理问题的通知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京地税二[1996]240号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19960605</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第一条第一款废止。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5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25</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北京市地方税务局关于转发国家税务总局《关于严格执行税款解缴制度，严肃财税政纪法纪的紧急通知》的通知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京地税计[1996]285号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19960706</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第三条中限期限额规定“(……税务所800元）”失效。</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102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26</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北京市地方税务局北京市房屋土地管理局转发国家税务总局建设部《关于土地增值税征收管理有关问题的通知》和国家税务总局、国家土地管理局《关于土地增值税若干征管问题的通知》的通知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京地税二[1996]407号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19960924</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六条废止,附件3北京市地方税务局京地税二[1996]351号《北京市地方税务局关于委托代征土地增值税管理办法》、附件4《代征土地增值税基本程序》、附件11《委托代征税款协议书》、附件12《委托代征税款证书》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3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27</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北京市地方税务局、首都规划建设委员会办公室关于土地增值税若干征收管理问题的补充通知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京地税二[1996]431号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19961009</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附件二《土地增值税项目登记表》废止。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3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28</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北京市地方税务局关于明确个人所得税若干税收征管政策问题的通知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京地税个[1996]501号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19961119</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第三条废止。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0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29</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北京市地方税务局转发国家税务总局关于《建筑安装业个人所得税征收管理暂行办法》的通知</w:t>
            </w:r>
            <w:r>
              <w:rPr>
                <w:rFonts w:ascii="Arial" w:hAnsi="Arial" w:cs="Arial"/>
                <w:kern w:val="0"/>
                <w:sz w:val="20"/>
                <w:szCs w:val="20"/>
              </w:rPr>
              <w:t xml:space="preserve">  </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京地税个[1996]578号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19961216</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第二条废止。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30</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北京市地方税务局转发市财政局等三个单位《关于转发财政部境外投资财务管理暂行办法的通知》的通知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京地税企[1997]26号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19970110</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文中“企业的境外投资所得计征企业所得税的办法依照市财政局、市国税局、市地税局《转发财政部、国家税务总局关于印发境外所得计征所得税暂行办法的通知》（京财税（1995）2348号）的规定办理。”的内容失效。</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3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31</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北京市地方税务局转发《北京市行政处罚听证程序实施办法》等有关文件的通知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京地税法[1997]90号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19970219</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附件2、附件3废止。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9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32</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北京市地方税务局转发市财政局转发财政部关于印发《企业兼并有关会计处理问题暂行规定》的通知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京地税企[1997]572号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19971212</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第一条、第二条废止。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5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33</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北京市地方税务局转发市劳动局关于印发《北京市企业职工工伤范围和保险待遇暂行办法》的通知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京地税企[1997]581号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19971223</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第一条、第二条废止。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34</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北京市地方税务局转发国家税务总局关于个人从事医疗服务活动征收个人所得税问题的通知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京地税个[1997]589号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19971225</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第一条、第二条、第三条失效。</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102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35</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北京市地方税务局印发北京市地方税务局关于调整房产税、城镇土地使用税、城市房地产税纳税期限的通告和我市调整房产税、城镇土地使用税、城市房地产税纳税期限的说明的通知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京地税二[1998]355号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19980824</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关于“城市房地产税”的内容废止。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6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36</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北京市地方税务局北京市技术监督局北京市出租汽车管理局关于本市出租汽车行业推广使用税控计价器和打印发票有关问题的通知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京地税征[1998]508号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19981105 </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附件：北京市出租汽车专用发票（打印发票）票样废止。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5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37</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北京市地方税务局关于北京市出租汽车卷式发票的印制使用和管理等若干问题的通知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京地税票[1998]509号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19981105</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第一条中“防伪措施为在紫光灯下，椭圆形监制章及字轨号码呈莹光红色，同时还在票面上以无色莹光绿印制了古钱币图形，在紫光灯下呈现绿色”的内容废止。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6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38</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北京市地方税务局转发北京市劳动局、北京市财政局关于印发劳动部门事业单位专用基金提取比例的办法的通知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京地税企[1999]35号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19990107</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文中“对劳动部门所属事业单位依据《提取办法》的规定提取的专用基金，在计算企业所得税时准予税前扣除。”的内容废止。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5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39</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北京市地方税务局转发国家税务总局关于个人所得税有关政策问题的通知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京地税个[1999]684号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19991223</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第二条第二款废止。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120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40</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北京市地方税务局转发市政府办公厅转发市劳动和社会保障局等部门关于加强本市再就业工作若干问题意见的通知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京地税企[2000]170号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20000413</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文中“《工作意见》第三条第一款第一项中“劳务派遣组织享受劳服企业减免税优惠政策”，应按市局与原市劳动局联合下发的《关于规范劳动就业服务企业资格认定程序有关问题的通知》（京劳服发[1999]46号）中的规定程序办理劳服企业资格认证，取得资格认证书后，到当地税务机关办理减免税手续，凡符合减免税条件的，享受劳服企业减免税优惠政策。”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9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41</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北京市地方税务局转发北京市人民政府办公厅转发市科委关于市属技术开发型科研院所转制意见的通知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京地税企[2000]288号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20000703</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第一条、第二条、第三条废止。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42</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北京市地方税务局转发国家税务总局关于贯彻实施《中华人民共和国税收征收管理法》有关问题的通知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京地税办[2001]304号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20010604</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附件1《北京市地方税务局税务检查通知书》、附件2《北京市地方税务局询问通知书》、附件3《北京市地方税务局税务处理决定书》、 附件4《北京市地方税务局税务行政处罚决定书》废止。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3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43</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北京市地方税务局转发北京市人民政府关于贯彻国务院鼓励软件产业和集成电路产业发展若干政策实施意见的通知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京地税企[2001]386号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20010730</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第一条、第二条、第三条废止。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9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44</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北京市地方税务局关于印发《税务行政处罚管理暂行办法》的通知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京地税法[2001]488号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20011010</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第12条第1项第2段，附件1、附件3至附件4废止。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45</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北京市地方税务局北京市国家税务局关于印发北京市支持高新技术成果转化项目等税收政策实施办法的通知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京地税企[2001]694号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20020105</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文中的《北京市支持高新技术成果转化项目等税收政策实施办法》中第四、六条及附件1、2内容废止。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46</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北京市地方税务局关于印发发票改革工作实施方案的意见的通知  </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京地税征[2002]258号 </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20020619</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第四条第二款“或拨打声讯电话（010）16881688查询发票的真假”内容废止。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0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47</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北京市地方税务局关于加强印花税代售工作有关问题的通知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京地税地[2002]273号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20020627</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第一条废止,附件“《北京市地方税务局关于对印花税票代售单位加强管理的若干规定》”废止。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7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48</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北京市地方税务局关于进一步加强北京市房地产市场营业税优惠政策执行管理工作的通知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京地税营[2002]311号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20020716</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第五条、第十二条、第十三条、附件1、2、3、4、5、6、7、9、10废止。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0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49</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北京市地方税务局关于做好2002年度个人独资企业和合伙企业投资者个人所得税汇算清缴工作的通知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京地税个[2002]175号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20021226</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第五条第七款废止。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0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50</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北京市地方税务局关于自主择业军队转业干部安置享受有关税收优惠政策问题的通知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京地税企[2002]606号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20030117</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第一条第一款中“企业所得税”的内容废止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4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51</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北京市地方税务局关于进一步规范税务行政处罚工作的通知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京地税法[2003]83号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20030212</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第4条第1项至第4项、第6项，附件1、附件3废止。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7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52</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北京市地方税务局关于启用套印章停车场收费专用发票的通知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京地税票[2003]164号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20030319</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附件1废止。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53</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北京市地方税务局关于增设税控装置制造商、代理服务商和调整税控装置最高限价的通知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京地税票[2003]231号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20030415</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文中“销售”的内容废止。 </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6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54</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北京市地方税务局关于实施发票改革工作若干问题的补充通知若干问题的补充通知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京地税票[2003]322号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20030529</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第四条第二款、第五条第一款第二段废止。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6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55</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北京市地方税务局关于启用具备卡功能的《北京市出租汽车专用发票》的通知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京地税票[2003]466号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20030815</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第三条中“和《北京市出租汽车专用发票》手工填开式发票（备用发票）”的内容废止。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4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56</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北京市地方税务局北京市卫生局关于加强本市医疗机构税收征收管理问题的通知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京地税票[2003]511号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20030908</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第四条废止。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4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57</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北京市地方税务局北京市财政局关于印发《无原值房产计税价值核定办法》的通知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京地税地[2003]624号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20031124</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文中《无原值房产计税价值核定办法》废止。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58</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北京市地方税务局关于加强发票和税控装置管理有关问题的通知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京地税票[2003]681号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20031229</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第二条、第三条第一款、第三条第二款中“即：定额发票每次按照面值配比各1本，税控机打发票1包或1卷” 的内容，第三条第八款、第四条、附件“北京市地方税务局纳税人发票认定及税控装置选型申请表”的内容废止。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6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59</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北京市地方税务局转发国家税务总局关于进一步落实税收优惠政策 促进农民增加收入的通知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京地税征[2004]75号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20040224</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第二条第二款、第五条废止。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0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60</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北京市地方税务局转发国家税务总局关于印花税违章处罚有关问题的通知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京地税地[2004]113号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20040318</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第二条、第三条废止。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4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61</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北京市地方税务局关于修订《北京市地方税务局个人出租房屋管理办法》的通知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京地税征[2004]181号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20040414</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《北京市地方税务局个人出租房屋管理办法》中：第四条第二款废止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62</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北京市地方税务局关于北京市工商行政管理系统市场准入制度改革后有关税务登记管理问题的通知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京地税征[2004]206号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20040419</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第三条废止。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96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63</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北京市地方税务局关于印发《北京市地方税务局实施税务行政许可程序规定》和《北京市地方税务局税务行政许可监督检查制度》的通知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京地税法[2004]328号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20040625</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附件“准予跨区域携带许可证”、“程序规定二—异地经营申请领购发票”“程序规定三—拆本使用发票”、“程序规定四—跨区携带发票（另加附件）”“程序规定六—发票领购资格审核”、“程序规定七—粘贴簿、登记簿”、“跨区域携带、邮寄、运输空白发票明细单”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6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64</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北京市地方税务局关于贯彻行政许可程序性规定若干问题的通知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京地税票[2004]357号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20040712</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第二条第一、第二款废止。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120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65</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北京市地方税务局关于推进全程办税服务有关问题的通知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京地税纳[2004]426号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20040822</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第二条中“全程办税服务工作涉及面广、社会影响大。为了便于统筹安排此项工作，市局成立全程办税服务领导小组（即：深化政务公开工作领导小组）。组长：王纪平 副组长：苏文权 杨志强 解煜  领导小组办公室设在纳税服务中心，由纳税服务中心牵头负责全程办税服务各项工作的开展。办公室成员主要包括监察处、法制处、纳税服务中心。”的内容废止。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96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66</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北京市地方税务局关于规范普通发票开具问题的通知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京地税票[2004]439号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20040831</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第三条中“不符合规定的发票是指开具或取得的发票是应经而未经税务机关监制，或填开项目不齐全，内容不真实，字迹和加盖的印章不清楚以及经税务机关通报作废等不符合规定的普通发票”的内容废止，2、第六条失效，3、第七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67</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 xml:space="preserve">北京市地方税务局关于进一步加强发票和税控装置管理有关问题的通知 </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京地税票[2004]522号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20041102</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第五条中“通过上述工作，为纳税评估和税务检查部门提供真实、准确的发票信息，从而减轻发票发售窗口的工作压力，提高发票发售质量和效率。核验工作的具体要求另行通知。”的内容内容废止。   </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8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68</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北京市地方税务局关于在全市实行有奖发票即开即兑工作的通知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京地税票[2005]62号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20050128</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第二条中“《北京市定额发票》”的内容废止。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5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69</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北京市地方税务局关于延长有奖发票兑奖期限的通知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京地税票[2005]91号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20050207</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第三条废止。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70</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北京市地方税务局关于在邮电通信业实施税控管理有关问题的通知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京地税票[2005]198号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20050429</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1、文中“减少企业自印发票的使用范围和数量”的内容废止，2、第一条中“一是大力压缩企业自印发票的使用范围和数量” 的内容废止，3、第六条失效，4、第七条中“税务行政许可” 的内容废止。       </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0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71</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北京市地方税务局转发国家税务总局关于进一步加强房地产税收管理的通知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京地税征[2005]507号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20051118</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文中关于“城市房地产税”的内容废止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7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72</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000000"/>
                <w:kern w:val="0"/>
                <w:sz w:val="20"/>
                <w:szCs w:val="20"/>
              </w:rPr>
            </w:pPr>
            <w:r>
              <w:rPr>
                <w:rFonts w:ascii="Arial" w:hAnsi="Arial" w:cs="Arial"/>
                <w:color w:val="000000"/>
                <w:kern w:val="0"/>
                <w:sz w:val="20"/>
                <w:szCs w:val="20"/>
              </w:rPr>
              <w:t>北京市地方税务局关于加强发票和网络税控管理有关问题的通知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京地税票[2005]563号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20051214</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第一条第一款中“应按照行政许可程序到主管税务机关进行发票领购资格的审核”、“税务机关作出准许许可后” 的内容废止。   </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4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73</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北京市地方税务局关于印发《北京市地方税务局税收减免管理实施办法（试行）》的通知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京地税征[2006]287号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20060605</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附件1《北京市地方税务局减免税项目表》中“企业所得税减、免税项目”的内容废止。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6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74</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北京市地方税务局关于调整出租汽车驾驶员取得所得项目的通知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京地税个[2006]451号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20061110</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第二条的“核定个人所得税税额75元/月”的内容废止。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4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75</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北京市地方税务局关于启用新版公路内河货运发票有关问题的通知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京地税票[2006]497号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20061207</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第四条废止。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3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76</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北京市地方税务局关于土地增值税征收管理有关问题的通知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京地税地[2006]509号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20061219</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第一条废止。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9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77</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北京市地方税务局关于印发《北京市地方税务局公路内河货物运输业发票税控系统操作规程》的通知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京地税票[2007]216号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20070523</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第一条第一款中“并办理发票领购资格的行政许可后”的内容废止。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7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78</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北京市地方税务局关于有奖发票兑奖管理有关问题的通知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京地税票[2007]233号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20070611</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第一条中“ 综合中奖率将由原来的0.6％，提升到1.2％以上”的内容废止。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79</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北京市地方税务局关于做好国标税控收款机管理有关问题的通知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京地税票[2007]274号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20070706</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1、第二条中“纳税人在取得发票领购资格的行政许可，并经发票核定、最高开票限额的行政审批后”的内容废止，2、第六条中“主管税务机关进行行政审批”的内容废止。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412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80</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北京市地方税务局关于印发《北京地税发票税控管理系统业务操作规程》的通知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京地税票[2007]268号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20070706</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1、第二章第五条废止，2、第二章第六条第二款废止，3、第二章第七条第一段中“行政许可程序”的内容废止， 4、第二章第七条第二款中“纳税人申请更换税控装置机型的，税务机关依法进行审批后，对纳税人原税控装置进行注销处理后，按照第五条为纳税人办理购机手续”的内容 废止， 5、第二章第七条第四款废止，    6、第二章第八条第一款第二点中“ 如纳税人需要重新领购税控装置的，在税控装置类型不变的情况下，按照第五条第二款进行办理。”的内容废止， 7、第三章第十一条中“须到主管税务机关按照税务行政许可程序及相关规定提出领购发票资格的申请”的内容废止， 8、第三章第十一条第一款中“应按照北京市地方税务局税务行政许可程序及相关规定” 的内容废止，9、第三章第十一条第三款第三点调整购票浮动值中“及主管局长”的内容废止，10、第四章第十九条第三款废止，11、第五章第二十三条第二款中“新办企业首次领购发票时，一律执行领购定额发票按面值各1本，税控机打发票1包或1卷的办法。”的内容 废止，12、第五章第二十三条第二款中“对于取得税务登记一年以内或在正常纳税申报半年内的纳税户，每次领购发票的数量不得超过月核定数量的50％。”的内容废止，13、第五章第二十四条第一款第一点中“电话、开户行、帐号” 的内容废止。14、第六章第三十一条 中“奥税办发票代开”的内容失效。</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6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81</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北京市地方税务局关于国标税控发票核定和领购管理有关问题的通知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京地税票[2007]272号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20070713</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1、第一条第一款、第三款（发票核定）1、2、3点、第四款（国标税控收款机用户最高开票限额的审批）第2条废止， 2、第二条第一款废止。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7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82</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北京市地方税务局关于进一步推广应用国标税控收款机有关问题的通知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京地税票[2007]353号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20070831</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1、第二条废止，2、第三条中“审批”的内容废止，3、第五条第一款中“一是充分发挥本局国标税控领导小组和办公室的工作职能”的内容废止。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0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83</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北京市地方税务局关于将非国标税控装置逐步更换为国标税控收款机有关问题的通知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京地税票[2007]371号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20070924</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1、第三条失效，2、文件附件1.《______地方税务局发票领购资格审核（行政许可）确认表》失效。</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9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84</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北京市地方税务局关于增值税纳税人放弃免税权有关城市维护建设税、教育费附加征管问题的通知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京地税营[2007]426号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20071112</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文中“和《国家税务总局关于外商投资企业和外国企业暂不征收城市维护建设税和教育费附加的通知》（国税发[1994]038号）文件的相关规定，除外商投资企业和外国企业以外的其他”的内容废止。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6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85</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北京市地方税务局关于印发《纳税信用等级评定管理办法（试行）》的通知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京地税评[2007]486号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20071221</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第十三条废止。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86</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北京市地方税务局关于印发《房地产开发企业土地增值税清算管理办法》通知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京地税地[2008]92号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20080422</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附件三《土地增值税清算通知书》、附件九《土地增值税核定征收通知书》废止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87</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北京市地方税务局关于印发《北京市地方税务局待缴库税款收缴管理暂行办法》的通知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京地税计[2008]244号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20080710</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第十九条中:“同时,为确保“专户”年末余额为零，在距年终5日内的结账期间，税务征收机关征收的待缴库税款，一律暂停向“专户”办理缴存手续。”的内容废止。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6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88</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北京市地方税务局关于转发有关从事个体经营人员实行收费优惠政策等文件的通知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京地税票[2008]229号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20080918</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附件《转发财政部国家发展和改革委员会关于对从事个体经营的有关人员实行收费优惠政策的通知》（京财综[2008]1579号）中第二条第二款废止。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0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89</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北京市地方税务局关于房地产交易环节税收政策调整后有关征管问题的通知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京地税地[2008]250号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20081029</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第二条第一款、附件《首次购房承诺书》废止。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6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90</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北京市地方税务局北京市住房和城乡建设委员会关于加强房屋交易税收管理工作的通知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京地税地[2009]120号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20090428</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第四条废止。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67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91</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北京市地方税务局转发北京市发展和改革委员会北京市财政局关于税务登记证等工本费收费标准的函的通知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京地税票[2010]67号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20100325</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附件〈北京市发展和改革委员会北京市财政局关于税务登记证等工本费收费标准的函〉（京发改[2010]181号）中第一条废止。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510"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92</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北京市地方税务局关于印发《北京市地方税务局服务贸易等项目对外支付开具税务证明工作规程（试行）》的通知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京地税法[2010]77号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20100412</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附件中《北京市地方税务局对外支付税务证明台帐》和《对外支付税务证明开具情况统计表》废止。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0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93</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北京市地方税务局关于遏制房价快速上涨强化房地产税收监管有关工作的通知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京地税地[2010]87号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20100512</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第一条废止。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735" w:hRule="atLeast"/>
        </w:trPr>
        <w:tc>
          <w:tcPr>
            <w:tcW w:w="3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94</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 w:val="20"/>
                <w:szCs w:val="20"/>
              </w:rPr>
            </w:pPr>
            <w:r>
              <w:rPr>
                <w:rFonts w:ascii="Arial" w:hAnsi="Arial" w:cs="Arial"/>
                <w:kern w:val="0"/>
                <w:sz w:val="20"/>
                <w:szCs w:val="20"/>
              </w:rPr>
              <w:t>北京市地方税务局关于修订《北京市地方税务局公路、内河货物运输业税收管理操作规程（试行）》的通知</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京地税营[2010]129号</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20100630</w:t>
            </w:r>
          </w:p>
        </w:tc>
        <w:tc>
          <w:tcPr>
            <w:tcW w:w="2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第三十三条第（二）款中“除外商投资企业和外国企业外”的内容废止。</w:t>
            </w:r>
          </w:p>
        </w:tc>
        <w:tc>
          <w:tcPr>
            <w:tcW w:w="22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Verdana">
    <w:panose1 w:val="020B0604030504040204"/>
    <w:charset w:val="00"/>
    <w:family w:val="decorative"/>
    <w:pitch w:val="default"/>
    <w:sig w:usb0="A10006FF" w:usb1="4000205B" w:usb2="00000010" w:usb3="00000000" w:csb0="2000019F" w:csb1="00000000"/>
  </w:font>
  <w:font w:name="Courier New">
    <w:panose1 w:val="02070309020205020404"/>
    <w:charset w:val="00"/>
    <w:family w:val="swiss"/>
    <w:pitch w:val="default"/>
    <w:sig w:usb0="E0002EFF" w:usb1="C0007843" w:usb2="00000009" w:usb3="00000000" w:csb0="400001FF" w:csb1="FFFF0000"/>
  </w:font>
  <w:font w:name="Arial">
    <w:panose1 w:val="020B0604020202020204"/>
    <w:charset w:val="00"/>
    <w:family w:val="decorative"/>
    <w:pitch w:val="default"/>
    <w:sig w:usb0="E0002EFF" w:usb1="C0007843" w:usb2="00000009" w:usb3="00000000" w:csb0="400001FF" w:csb1="FFFF0000"/>
  </w:font>
  <w:font w:name="Microsoft Sans Serif">
    <w:panose1 w:val="020B0604020202020204"/>
    <w:charset w:val="00"/>
    <w:family w:val="decorative"/>
    <w:pitch w:val="default"/>
    <w:sig w:usb0="E5002EFF" w:usb1="C000605B" w:usb2="00000029" w:usb3="00000000" w:csb0="200101FF" w:csb1="2028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swiss"/>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76835"/>
    <w:rsid w:val="05D768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kf</Company>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2016-12-20T02:12:00Z</dcterms:created>
  <dc:creator>大碗咖啡</dc:creator>
  <cp:lastModifiedBy>大碗咖啡</cp:lastModifiedBy>
  <dcterms:modified xsi:type="dcterms:W3CDTF">2016-12-20T02:15:57Z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