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ind w:left="0" w:leftChars="0" w:right="0" w:firstLine="0" w:firstLineChars="0"/>
        <w:jc w:val="left"/>
        <w:textAlignment w:val="auto"/>
        <w:outlineLvl w:val="9"/>
        <w:rPr>
          <w:rFonts w:hint="eastAsia" w:ascii="CESI宋体-GB2312" w:hAnsi="CESI宋体-GB2312" w:eastAsia="CESI宋体-GB2312" w:cs="CESI宋体-GB2312"/>
          <w:b w:val="0"/>
          <w:bCs/>
          <w:sz w:val="32"/>
          <w:szCs w:val="32"/>
          <w:lang w:val="en-US" w:eastAsia="zh-CN"/>
        </w:rPr>
      </w:pPr>
      <w:r>
        <w:rPr>
          <w:rFonts w:hint="eastAsia" w:ascii="CESI宋体-GB2312" w:hAnsi="CESI宋体-GB2312" w:eastAsia="CESI宋体-GB2312" w:cs="CESI宋体-GB2312"/>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3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2023年社会组织参与社区治理</w:t>
      </w:r>
    </w:p>
    <w:p>
      <w:pPr>
        <w:keepNext w:val="0"/>
        <w:keepLines w:val="0"/>
        <w:pageBreakBefore w:val="0"/>
        <w:widowControl w:val="0"/>
        <w:kinsoku/>
        <w:wordWrap/>
        <w:overflowPunct/>
        <w:topLinePunct w:val="0"/>
        <w:autoSpaceDE/>
        <w:autoSpaceDN/>
        <w:bidi w:val="0"/>
        <w:adjustRightInd/>
        <w:snapToGrid/>
        <w:spacing w:line="53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奖励扶持</w:t>
      </w:r>
      <w:r>
        <w:rPr>
          <w:rFonts w:hint="eastAsia" w:ascii="方正小标宋简体" w:hAnsi="方正小标宋简体" w:eastAsia="方正小标宋简体" w:cs="方正小标宋简体"/>
          <w:b w:val="0"/>
          <w:bCs/>
          <w:sz w:val="44"/>
          <w:szCs w:val="44"/>
          <w:highlight w:val="none"/>
        </w:rPr>
        <w:t>项目</w:t>
      </w:r>
      <w:r>
        <w:rPr>
          <w:rFonts w:hint="eastAsia" w:ascii="方正小标宋简体" w:hAnsi="方正小标宋简体" w:eastAsia="方正小标宋简体" w:cs="方正小标宋简体"/>
          <w:b w:val="0"/>
          <w:bCs/>
          <w:sz w:val="44"/>
          <w:szCs w:val="44"/>
          <w:highlight w:val="none"/>
          <w:lang w:eastAsia="zh-CN"/>
        </w:rPr>
        <w:t>方案</w:t>
      </w:r>
    </w:p>
    <w:p>
      <w:pPr>
        <w:pageBreakBefore w:val="0"/>
        <w:widowControl w:val="0"/>
        <w:kinsoku/>
        <w:wordWrap/>
        <w:overflowPunct/>
        <w:topLinePunct w:val="0"/>
        <w:autoSpaceDE/>
        <w:autoSpaceDN/>
        <w:bidi w:val="0"/>
        <w:adjustRightInd/>
        <w:snapToGrid/>
        <w:spacing w:line="530" w:lineRule="exact"/>
        <w:ind w:left="0" w:leftChars="0" w:right="0" w:firstLine="640" w:firstLineChars="200"/>
        <w:jc w:val="center"/>
        <w:textAlignment w:val="auto"/>
        <w:rPr>
          <w:rFonts w:hint="eastAsia" w:ascii="仿宋" w:hAnsi="仿宋" w:eastAsia="仿宋" w:cs="仿宋"/>
          <w:b w:val="0"/>
          <w:bCs/>
          <w:sz w:val="32"/>
          <w:szCs w:val="32"/>
          <w:highlight w:val="none"/>
          <w:lang w:val="en-US" w:eastAsia="zh-CN"/>
        </w:rPr>
      </w:pPr>
    </w:p>
    <w:p>
      <w:pPr>
        <w:pageBreakBefore w:val="0"/>
        <w:widowControl w:val="0"/>
        <w:kinsoku/>
        <w:wordWrap/>
        <w:overflowPunct/>
        <w:topLinePunct w:val="0"/>
        <w:autoSpaceDE/>
        <w:autoSpaceDN/>
        <w:bidi w:val="0"/>
        <w:adjustRightInd/>
        <w:snapToGrid/>
        <w:spacing w:line="530" w:lineRule="exact"/>
        <w:ind w:left="0" w:leftChars="0" w:right="0"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为贯彻落实市委市政府《关于加强基层治理体系和治理能力现代化建设的实施意见》（京发〔2022）11号)和市委社工委市民政局《关于促进社会组织参与社区治理的意见》（京社委社组发〔2022）332号）文件精神，为了引导和促进社会组织更好参与社区治理，制定本奖励扶持项目方案。</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right="0" w:firstLine="640" w:firstLineChars="200"/>
        <w:jc w:val="both"/>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指导思想和工作目标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right="0" w:rightChars="0" w:firstLine="640" w:firstLineChars="200"/>
        <w:jc w:val="both"/>
        <w:textAlignment w:val="auto"/>
        <w:outlineLvl w:val="9"/>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坚持走中国特色社会组织发展之路，发挥社会组织服务国家、服务社会、服务群众、服务行业的作用，不断满足社区居民美好生活需要，着力提升社会组织参与社区治理的专业性、系统性，助力提升社区治理精准性、实效性，为怀柔“1+3”融合发展新格局贡献力量。到“十四五”末，全区社会组织参与社区治理的领域进一步扩大，服务能力进一步增强，作用发挥进一步凸显，公众对社会组织的认可度进一步提高，使社会组织成为社区治理的重要力量。</w:t>
      </w:r>
    </w:p>
    <w:p>
      <w:pPr>
        <w:pStyle w:val="2"/>
        <w:rPr>
          <w:rFonts w:hint="default"/>
          <w:highlight w:val="none"/>
          <w:lang w:val="en-US" w:eastAsia="zh-CN"/>
        </w:rPr>
      </w:pPr>
      <w:r>
        <w:rPr>
          <w:rFonts w:hint="eastAsia" w:ascii="仿宋" w:hAnsi="仿宋" w:eastAsia="仿宋" w:cs="仿宋"/>
          <w:b w:val="0"/>
          <w:bCs/>
          <w:sz w:val="32"/>
          <w:szCs w:val="32"/>
          <w:highlight w:val="none"/>
          <w:lang w:val="en-US" w:eastAsia="zh-CN"/>
        </w:rPr>
        <w:t xml:space="preserve">    怀柔区委社会工委区民政局拟对社会组织参与社区治理项目给予资金奖励扶持。</w:t>
      </w:r>
    </w:p>
    <w:p>
      <w:pPr>
        <w:pageBreakBefore w:val="0"/>
        <w:widowControl w:val="0"/>
        <w:numPr>
          <w:ilvl w:val="0"/>
          <w:numId w:val="0"/>
        </w:numPr>
        <w:kinsoku/>
        <w:wordWrap/>
        <w:overflowPunct/>
        <w:topLinePunct w:val="0"/>
        <w:autoSpaceDE/>
        <w:autoSpaceDN/>
        <w:bidi w:val="0"/>
        <w:adjustRightInd/>
        <w:snapToGrid/>
        <w:spacing w:line="530" w:lineRule="exact"/>
        <w:ind w:left="0" w:leftChars="0" w:right="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二、项目实施地域</w:t>
      </w:r>
    </w:p>
    <w:p>
      <w:pPr>
        <w:pageBreakBefore w:val="0"/>
        <w:widowControl w:val="0"/>
        <w:numPr>
          <w:ilvl w:val="0"/>
          <w:numId w:val="0"/>
        </w:numPr>
        <w:kinsoku/>
        <w:wordWrap/>
        <w:overflowPunct/>
        <w:topLinePunct w:val="0"/>
        <w:autoSpaceDE/>
        <w:autoSpaceDN/>
        <w:bidi w:val="0"/>
        <w:adjustRightInd/>
        <w:snapToGrid/>
        <w:spacing w:line="530" w:lineRule="exact"/>
        <w:ind w:left="0" w:leftChars="0" w:right="0" w:firstLine="640" w:firstLineChars="200"/>
        <w:textAlignment w:val="auto"/>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怀柔区域范围内36个社区</w:t>
      </w:r>
      <w:r>
        <w:rPr>
          <w:rFonts w:hint="eastAsia" w:ascii="仿宋_GB2312" w:hAnsi="仿宋" w:eastAsia="仿宋_GB2312"/>
          <w:sz w:val="32"/>
          <w:szCs w:val="32"/>
          <w:highlight w:val="none"/>
          <w:u w:val="none"/>
          <w:lang w:val="en-US" w:eastAsia="zh-CN"/>
        </w:rPr>
        <w:t>。</w:t>
      </w:r>
    </w:p>
    <w:p>
      <w:pPr>
        <w:pageBreakBefore w:val="0"/>
        <w:widowControl w:val="0"/>
        <w:numPr>
          <w:ilvl w:val="0"/>
          <w:numId w:val="0"/>
        </w:numPr>
        <w:kinsoku/>
        <w:wordWrap/>
        <w:overflowPunct/>
        <w:topLinePunct w:val="0"/>
        <w:autoSpaceDE/>
        <w:autoSpaceDN/>
        <w:bidi w:val="0"/>
        <w:adjustRightInd/>
        <w:snapToGrid/>
        <w:spacing w:line="530" w:lineRule="exact"/>
        <w:ind w:left="0" w:leftChars="0" w:right="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项目征集</w:t>
      </w:r>
      <w:r>
        <w:rPr>
          <w:rFonts w:ascii="黑体" w:hAnsi="黑体" w:eastAsia="黑体"/>
          <w:sz w:val="32"/>
          <w:szCs w:val="32"/>
          <w:highlight w:val="none"/>
        </w:rPr>
        <w:t>范围</w:t>
      </w:r>
    </w:p>
    <w:p>
      <w:pPr>
        <w:pageBreakBefore w:val="0"/>
        <w:widowControl w:val="0"/>
        <w:kinsoku/>
        <w:wordWrap/>
        <w:overflowPunct/>
        <w:topLinePunct w:val="0"/>
        <w:autoSpaceDE/>
        <w:autoSpaceDN/>
        <w:bidi w:val="0"/>
        <w:adjustRightInd/>
        <w:snapToGrid/>
        <w:spacing w:line="530" w:lineRule="exact"/>
        <w:ind w:left="0" w:leftChars="0" w:right="0"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一)参与公益社区建设。结合社区实际，开展各类社区公益慈善活动，服务广大社区居民。承接健康、养老、育幼、济困等领域的项目，为社区居民提供个性化、差异化、专业化服务，重点帮助低保对象、失独人员、空巢老人、困境儿童、残疾人等特殊群体，提供亲情陪伴、生活照料、心理疏导、法律援助、社会融入等关爱服务。</w:t>
      </w:r>
    </w:p>
    <w:p>
      <w:pPr>
        <w:pageBreakBefore w:val="0"/>
        <w:widowControl w:val="0"/>
        <w:kinsoku/>
        <w:wordWrap/>
        <w:overflowPunct/>
        <w:topLinePunct w:val="0"/>
        <w:autoSpaceDE/>
        <w:autoSpaceDN/>
        <w:bidi w:val="0"/>
        <w:adjustRightInd/>
        <w:snapToGrid/>
        <w:spacing w:line="530" w:lineRule="exact"/>
        <w:ind w:left="0" w:leftChars="0" w:right="0"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二)参与平安社区建设。发挥自身优势，开展社区防灾减灾科普知识宣传等，帮助社区提升应对自然灾害、事故灾难、公共卫生和社会安全等突发事件的能力。开展安全常识教育，宣传和普及防骗知识，防范针对老年人的诈骗活动等。</w:t>
      </w:r>
    </w:p>
    <w:p>
      <w:pPr>
        <w:pageBreakBefore w:val="0"/>
        <w:widowControl w:val="0"/>
        <w:kinsoku/>
        <w:wordWrap/>
        <w:overflowPunct/>
        <w:topLinePunct w:val="0"/>
        <w:autoSpaceDE/>
        <w:autoSpaceDN/>
        <w:bidi w:val="0"/>
        <w:adjustRightInd/>
        <w:snapToGrid/>
        <w:spacing w:line="530" w:lineRule="exact"/>
        <w:ind w:left="0" w:leftChars="0" w:right="0"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三)参与和谐社区建设。围绕社区公共服务、建设发展、环境改善等公共事务，在社区物业管理、文明养宠、停车管理、环境整治等工作中发挥协商共治作用。围绕“学雷锋纪念日”“国际家庭日”“12.5国际志愿者日”“中华慈善日”“社区邻里节”等主题开展活动，培育社区公共精神，营造良好的社区氛围。</w:t>
      </w:r>
    </w:p>
    <w:p>
      <w:pPr>
        <w:pageBreakBefore w:val="0"/>
        <w:widowControl w:val="0"/>
        <w:kinsoku/>
        <w:wordWrap/>
        <w:overflowPunct/>
        <w:topLinePunct w:val="0"/>
        <w:autoSpaceDE/>
        <w:autoSpaceDN/>
        <w:bidi w:val="0"/>
        <w:adjustRightInd/>
        <w:snapToGrid/>
        <w:spacing w:line="530" w:lineRule="exact"/>
        <w:ind w:left="0" w:leftChars="0" w:right="0"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四)参与文明社区建设。开展义务宣传活动，在社区居民中广泛开展社会主义核心价值观教育，提升社区居民的思想道德水平。协助开展科学常识、卫生防疫知识、诚信宣传教育，开展爱国卫生运动，遏制各类陈规陋习，抵制封建迷信活动。</w:t>
      </w:r>
    </w:p>
    <w:p>
      <w:pPr>
        <w:pageBreakBefore w:val="0"/>
        <w:widowControl w:val="0"/>
        <w:kinsoku/>
        <w:wordWrap/>
        <w:overflowPunct/>
        <w:topLinePunct w:val="0"/>
        <w:autoSpaceDE/>
        <w:autoSpaceDN/>
        <w:bidi w:val="0"/>
        <w:adjustRightInd/>
        <w:snapToGrid/>
        <w:spacing w:line="530" w:lineRule="exact"/>
        <w:ind w:left="0" w:leftChars="0" w:right="0"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五)参与智慧社区建设。积极响应“互联网+基层治理”行动，鼓励支持各类社会组织依托应用大数据、云计算、人工智能等信息技术手段参与智慧社区建设。通过融入社区多方共治联动机制，立足自身优势提升社区治理数字化水平，实现政府治理、</w:t>
      </w:r>
    </w:p>
    <w:p>
      <w:pPr>
        <w:pageBreakBefore w:val="0"/>
        <w:widowControl w:val="0"/>
        <w:kinsoku/>
        <w:wordWrap/>
        <w:overflowPunct/>
        <w:topLinePunct w:val="0"/>
        <w:autoSpaceDE/>
        <w:autoSpaceDN/>
        <w:bidi w:val="0"/>
        <w:adjustRightInd/>
        <w:snapToGrid/>
        <w:spacing w:line="530" w:lineRule="exact"/>
        <w:ind w:right="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社会调节、居民自治的良性互动。</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四、</w:t>
      </w:r>
      <w:r>
        <w:rPr>
          <w:rFonts w:ascii="黑体" w:hAnsi="黑体" w:eastAsia="黑体"/>
          <w:sz w:val="32"/>
          <w:szCs w:val="32"/>
          <w:highlight w:val="none"/>
        </w:rPr>
        <w:t>申报</w:t>
      </w:r>
      <w:r>
        <w:rPr>
          <w:rFonts w:hint="eastAsia" w:ascii="黑体" w:hAnsi="黑体" w:eastAsia="黑体"/>
          <w:sz w:val="32"/>
          <w:szCs w:val="32"/>
          <w:highlight w:val="none"/>
        </w:rPr>
        <w:t>主体</w:t>
      </w:r>
    </w:p>
    <w:p>
      <w:pPr>
        <w:keepNext w:val="0"/>
        <w:keepLines w:val="0"/>
        <w:pageBreakBefore w:val="0"/>
        <w:kinsoku/>
        <w:wordWrap/>
        <w:overflowPunct/>
        <w:topLinePunct w:val="0"/>
        <w:autoSpaceDE/>
        <w:autoSpaceDN/>
        <w:bidi w:val="0"/>
        <w:adjustRightInd/>
        <w:snapToGrid/>
        <w:spacing w:line="530" w:lineRule="exact"/>
        <w:ind w:firstLine="640" w:firstLineChars="200"/>
        <w:jc w:val="both"/>
        <w:textAlignment w:val="auto"/>
        <w:rPr>
          <w:rFonts w:ascii="仿宋_GB2312" w:hAnsi="仿宋" w:eastAsia="仿宋_GB2312"/>
          <w:b w:val="0"/>
          <w:bCs/>
          <w:color w:val="auto"/>
          <w:sz w:val="32"/>
          <w:szCs w:val="32"/>
          <w:highlight w:val="none"/>
          <w:u w:val="none"/>
        </w:rPr>
      </w:pPr>
      <w:r>
        <w:rPr>
          <w:rFonts w:hint="eastAsia" w:ascii="仿宋_GB2312" w:hAnsi="仿宋" w:eastAsia="仿宋_GB2312"/>
          <w:b w:val="0"/>
          <w:bCs/>
          <w:color w:val="auto"/>
          <w:sz w:val="32"/>
          <w:szCs w:val="32"/>
          <w:highlight w:val="none"/>
          <w:u w:val="none"/>
        </w:rPr>
        <w:t>同时具备下列条件的社会组织</w:t>
      </w:r>
      <w:r>
        <w:rPr>
          <w:rFonts w:hint="eastAsia" w:ascii="仿宋_GB2312" w:hAnsi="仿宋" w:eastAsia="仿宋_GB2312"/>
          <w:b w:val="0"/>
          <w:bCs/>
          <w:color w:val="auto"/>
          <w:sz w:val="32"/>
          <w:szCs w:val="32"/>
          <w:highlight w:val="none"/>
          <w:u w:val="none"/>
          <w:lang w:eastAsia="zh-CN"/>
        </w:rPr>
        <w:t>、</w:t>
      </w:r>
      <w:r>
        <w:rPr>
          <w:rFonts w:hint="eastAsia" w:ascii="仿宋_GB2312" w:hAnsi="仿宋" w:eastAsia="仿宋_GB2312"/>
          <w:b w:val="0"/>
          <w:bCs/>
          <w:color w:val="auto"/>
          <w:sz w:val="32"/>
          <w:szCs w:val="32"/>
          <w:highlight w:val="none"/>
          <w:u w:val="none"/>
          <w:lang w:val="en-US" w:eastAsia="zh-CN"/>
        </w:rPr>
        <w:t>社区社会组织</w:t>
      </w:r>
      <w:r>
        <w:rPr>
          <w:rFonts w:hint="eastAsia" w:ascii="仿宋_GB2312" w:hAnsi="仿宋" w:eastAsia="仿宋_GB2312"/>
          <w:b w:val="0"/>
          <w:bCs/>
          <w:color w:val="auto"/>
          <w:sz w:val="32"/>
          <w:szCs w:val="32"/>
          <w:highlight w:val="none"/>
          <w:u w:val="none"/>
        </w:rPr>
        <w:t>可申报项目：</w:t>
      </w:r>
    </w:p>
    <w:p>
      <w:pPr>
        <w:keepNext w:val="0"/>
        <w:keepLines w:val="0"/>
        <w:pageBreakBefore w:val="0"/>
        <w:kinsoku/>
        <w:wordWrap/>
        <w:overflowPunct/>
        <w:topLinePunct w:val="0"/>
        <w:autoSpaceDE/>
        <w:autoSpaceDN/>
        <w:bidi w:val="0"/>
        <w:adjustRightInd/>
        <w:snapToGrid/>
        <w:spacing w:line="530" w:lineRule="exact"/>
        <w:ind w:firstLine="640" w:firstLineChars="200"/>
        <w:jc w:val="both"/>
        <w:textAlignment w:val="auto"/>
        <w:rPr>
          <w:rFonts w:hint="default" w:ascii="仿宋_GB2312" w:hAnsi="仿宋" w:eastAsia="仿宋_GB2312"/>
          <w:b w:val="0"/>
          <w:bCs/>
          <w:color w:val="auto"/>
          <w:sz w:val="32"/>
          <w:szCs w:val="32"/>
          <w:highlight w:val="none"/>
          <w:u w:val="none"/>
          <w:lang w:val="en-US" w:eastAsia="zh-CN"/>
        </w:rPr>
      </w:pPr>
      <w:r>
        <w:rPr>
          <w:rFonts w:hint="eastAsia" w:ascii="仿宋_GB2312" w:hAnsi="仿宋" w:eastAsia="仿宋_GB2312"/>
          <w:b w:val="0"/>
          <w:bCs/>
          <w:color w:val="auto"/>
          <w:sz w:val="32"/>
          <w:szCs w:val="32"/>
          <w:highlight w:val="none"/>
          <w:u w:val="none"/>
          <w:lang w:val="en-US" w:eastAsia="zh-CN"/>
        </w:rPr>
        <w:t>1.社会组织</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（1）在怀柔区民政局正式登记注册；</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（2）上一年度年检合格的社会组织；</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（3）有专职工作人员；</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（4）有固定办公场所和活动场地；</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（5）财务独立核算和记账，有专职会计；</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（6）有较高社会诚信度、表现活跃、服务范围为怀柔区的社会组织。</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2.社区社会组织</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（1）2022年12月31日之前在北京市社会组织服务管理系统备案的社区社会组织；</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（2）具有稳定的组织负责人及与项目内容适应的成员；</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（3）有相对稳定的办公及活动空间；</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（4）经所在街道、镇乡审批通过，具备独立申报项目的能力或条件；</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hint="default"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（5）在社区有较好的群众基础，组织活跃度高的社区社会组织。</w:t>
      </w:r>
    </w:p>
    <w:p>
      <w:pPr>
        <w:keepNext w:val="0"/>
        <w:keepLines w:val="0"/>
        <w:pageBreakBefore w:val="0"/>
        <w:kinsoku/>
        <w:wordWrap/>
        <w:overflowPunct/>
        <w:topLinePunct w:val="0"/>
        <w:autoSpaceDE/>
        <w:autoSpaceDN/>
        <w:bidi w:val="0"/>
        <w:adjustRightInd/>
        <w:snapToGrid/>
        <w:spacing w:line="530" w:lineRule="exact"/>
        <w:ind w:firstLine="640" w:firstLineChars="200"/>
        <w:jc w:val="both"/>
        <w:textAlignment w:val="auto"/>
        <w:rPr>
          <w:rFonts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lang w:val="en-US" w:eastAsia="zh-CN"/>
        </w:rPr>
        <w:t>3.</w:t>
      </w:r>
      <w:r>
        <w:rPr>
          <w:rFonts w:hint="eastAsia" w:ascii="仿宋_GB2312" w:hAnsi="仿宋" w:eastAsia="仿宋_GB2312"/>
          <w:b w:val="0"/>
          <w:bCs w:val="0"/>
          <w:color w:val="auto"/>
          <w:sz w:val="32"/>
          <w:szCs w:val="32"/>
          <w:highlight w:val="none"/>
        </w:rPr>
        <w:t>具有下列行为之一的社会组织不得申报项目：</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（1）因违法行为被相关部门依法处罚未满2年的；</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（2）因涉嫌违法违规正在接受有关部门调查的；</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（3）由于承接单位原因，上两个年度在政府部门已立项项目被取消或停止实施的；</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（4）在以往承接政府各类项目过程中有不良记录的；</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 xml:space="preserve">、申报日期 </w:t>
      </w:r>
    </w:p>
    <w:p>
      <w:pPr>
        <w:spacing w:line="48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项目申报时间为</w:t>
      </w:r>
      <w:r>
        <w:rPr>
          <w:rFonts w:hint="eastAsia" w:ascii="仿宋_GB2312" w:hAnsi="仿宋" w:eastAsia="仿宋_GB2312"/>
          <w:sz w:val="32"/>
          <w:szCs w:val="32"/>
          <w:highlight w:val="none"/>
          <w:lang w:eastAsia="zh-CN"/>
        </w:rPr>
        <w:t>本通知发布之日起至</w:t>
      </w:r>
      <w:r>
        <w:rPr>
          <w:rFonts w:hint="eastAsia" w:ascii="仿宋_GB2312" w:hAnsi="仿宋" w:eastAsia="仿宋_GB2312"/>
          <w:sz w:val="32"/>
          <w:szCs w:val="32"/>
          <w:highlight w:val="none"/>
          <w:lang w:val="en-US" w:eastAsia="zh-CN"/>
        </w:rPr>
        <w:t>6月15</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lang w:eastAsia="zh-CN"/>
        </w:rPr>
        <w:t>。</w:t>
      </w:r>
    </w:p>
    <w:p>
      <w:pPr>
        <w:pageBreakBefore w:val="0"/>
        <w:widowControl w:val="0"/>
        <w:numPr>
          <w:ilvl w:val="0"/>
          <w:numId w:val="2"/>
        </w:numPr>
        <w:kinsoku/>
        <w:wordWrap/>
        <w:overflowPunct/>
        <w:topLinePunct w:val="0"/>
        <w:autoSpaceDE/>
        <w:autoSpaceDN/>
        <w:bidi w:val="0"/>
        <w:adjustRightInd/>
        <w:snapToGrid/>
        <w:spacing w:line="530" w:lineRule="exact"/>
        <w:ind w:left="0" w:leftChars="0" w:right="0"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申报要求</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、申报的项目必须突出</w:t>
      </w:r>
      <w:r>
        <w:rPr>
          <w:rFonts w:hint="eastAsia" w:ascii="仿宋_GB2312" w:hAnsi="仿宋" w:eastAsia="仿宋_GB2312"/>
          <w:sz w:val="32"/>
          <w:szCs w:val="32"/>
          <w:highlight w:val="none"/>
          <w:lang w:eastAsia="zh-CN"/>
        </w:rPr>
        <w:t>精准性、</w:t>
      </w:r>
      <w:r>
        <w:rPr>
          <w:rFonts w:hint="eastAsia" w:ascii="仿宋_GB2312" w:hAnsi="仿宋" w:eastAsia="仿宋_GB2312"/>
          <w:sz w:val="32"/>
          <w:szCs w:val="32"/>
          <w:highlight w:val="none"/>
        </w:rPr>
        <w:t>实效性</w:t>
      </w:r>
      <w:r>
        <w:rPr>
          <w:rFonts w:hint="eastAsia" w:ascii="仿宋_GB2312" w:hAnsi="仿宋" w:eastAsia="仿宋_GB2312"/>
          <w:sz w:val="32"/>
          <w:szCs w:val="32"/>
          <w:highlight w:val="none"/>
          <w:lang w:eastAsia="zh-CN"/>
        </w:rPr>
        <w:t>、绩效性</w:t>
      </w:r>
      <w:r>
        <w:rPr>
          <w:rFonts w:hint="eastAsia" w:ascii="仿宋_GB2312" w:hAnsi="仿宋" w:eastAsia="仿宋_GB2312"/>
          <w:sz w:val="32"/>
          <w:szCs w:val="32"/>
          <w:highlight w:val="none"/>
        </w:rPr>
        <w:t>，开展的服务受众</w:t>
      </w:r>
      <w:r>
        <w:rPr>
          <w:rFonts w:ascii="仿宋_GB2312" w:hAnsi="仿宋" w:eastAsia="仿宋_GB2312"/>
          <w:sz w:val="32"/>
          <w:szCs w:val="32"/>
          <w:highlight w:val="none"/>
        </w:rPr>
        <w:t>有获得感</w:t>
      </w:r>
      <w:r>
        <w:rPr>
          <w:rFonts w:hint="eastAsia" w:ascii="仿宋_GB2312" w:hAnsi="仿宋" w:eastAsia="仿宋_GB2312"/>
          <w:sz w:val="32"/>
          <w:szCs w:val="32"/>
          <w:highlight w:val="none"/>
        </w:rPr>
        <w:t>，项目实施</w:t>
      </w:r>
      <w:r>
        <w:rPr>
          <w:rFonts w:ascii="仿宋_GB2312" w:hAnsi="仿宋" w:eastAsia="仿宋_GB2312"/>
          <w:sz w:val="32"/>
          <w:szCs w:val="32"/>
          <w:highlight w:val="none"/>
        </w:rPr>
        <w:t>后受众群体清晰，可</w:t>
      </w:r>
      <w:r>
        <w:rPr>
          <w:rFonts w:hint="eastAsia" w:ascii="仿宋_GB2312" w:hAnsi="仿宋" w:eastAsia="仿宋_GB2312"/>
          <w:sz w:val="32"/>
          <w:szCs w:val="32"/>
          <w:highlight w:val="none"/>
          <w:lang w:eastAsia="zh-CN"/>
        </w:rPr>
        <w:t>进行</w:t>
      </w:r>
      <w:r>
        <w:rPr>
          <w:rFonts w:ascii="仿宋_GB2312" w:hAnsi="仿宋" w:eastAsia="仿宋_GB2312"/>
          <w:sz w:val="32"/>
          <w:szCs w:val="32"/>
          <w:highlight w:val="none"/>
        </w:rPr>
        <w:t>绩效评价</w:t>
      </w:r>
      <w:r>
        <w:rPr>
          <w:rFonts w:hint="eastAsia" w:ascii="仿宋_GB2312" w:hAnsi="仿宋" w:eastAsia="仿宋_GB2312"/>
          <w:sz w:val="32"/>
          <w:szCs w:val="32"/>
          <w:highlight w:val="none"/>
        </w:rPr>
        <w:t>，同时</w:t>
      </w:r>
      <w:r>
        <w:rPr>
          <w:rFonts w:ascii="仿宋_GB2312" w:hAnsi="仿宋" w:eastAsia="仿宋_GB2312"/>
          <w:sz w:val="32"/>
          <w:szCs w:val="32"/>
          <w:highlight w:val="none"/>
        </w:rPr>
        <w:t>有规范的项目推进和管理流程，能经得起财务审计</w:t>
      </w:r>
      <w:r>
        <w:rPr>
          <w:rFonts w:hint="eastAsia" w:ascii="仿宋_GB2312" w:hAnsi="仿宋" w:eastAsia="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、申报单位需提供尚在有效期内的注册登记证书复印件1份和</w:t>
      </w:r>
      <w:r>
        <w:rPr>
          <w:rFonts w:hint="eastAsia" w:ascii="仿宋_GB2312" w:hAnsi="仿宋" w:eastAsia="仿宋_GB2312"/>
          <w:sz w:val="32"/>
          <w:szCs w:val="32"/>
          <w:highlight w:val="none"/>
          <w:lang w:eastAsia="zh-CN"/>
        </w:rPr>
        <w:t>上一年度的</w:t>
      </w:r>
      <w:r>
        <w:rPr>
          <w:rFonts w:hint="eastAsia" w:ascii="仿宋_GB2312" w:hAnsi="仿宋" w:eastAsia="仿宋_GB2312"/>
          <w:sz w:val="32"/>
          <w:szCs w:val="32"/>
          <w:highlight w:val="none"/>
        </w:rPr>
        <w:t>年检</w:t>
      </w:r>
      <w:r>
        <w:rPr>
          <w:rFonts w:hint="eastAsia" w:ascii="仿宋_GB2312" w:hAnsi="仿宋" w:eastAsia="仿宋_GB2312"/>
          <w:sz w:val="32"/>
          <w:szCs w:val="32"/>
          <w:highlight w:val="none"/>
          <w:lang w:eastAsia="zh-CN"/>
        </w:rPr>
        <w:t>结论通知书</w:t>
      </w:r>
      <w:r>
        <w:rPr>
          <w:rFonts w:hint="eastAsia" w:ascii="仿宋_GB2312" w:hAnsi="仿宋" w:eastAsia="仿宋_GB2312"/>
          <w:sz w:val="32"/>
          <w:szCs w:val="32"/>
          <w:highlight w:val="none"/>
          <w:lang w:val="en-US" w:eastAsia="zh-CN"/>
        </w:rPr>
        <w:t>1份</w:t>
      </w:r>
      <w:r>
        <w:rPr>
          <w:rFonts w:hint="eastAsia" w:ascii="仿宋_GB2312" w:hAnsi="仿宋" w:eastAsia="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、申报单位需按照相关要求认真填写活动项目申报书</w:t>
      </w:r>
      <w:r>
        <w:rPr>
          <w:rFonts w:hint="eastAsia" w:ascii="仿宋_GB2312" w:hAnsi="仿宋" w:eastAsia="仿宋_GB2312"/>
          <w:sz w:val="32"/>
          <w:szCs w:val="32"/>
          <w:highlight w:val="none"/>
          <w:lang w:val="en-US" w:eastAsia="zh-CN"/>
        </w:rPr>
        <w:t>2份</w:t>
      </w:r>
      <w:r>
        <w:rPr>
          <w:rFonts w:hint="eastAsia" w:ascii="仿宋_GB2312" w:hAnsi="仿宋" w:eastAsia="仿宋_GB2312"/>
          <w:sz w:val="32"/>
          <w:szCs w:val="32"/>
          <w:highlight w:val="none"/>
          <w:lang w:eastAsia="zh-CN"/>
        </w:rPr>
        <w:t>和承接主体资质认定审查表</w:t>
      </w:r>
      <w:r>
        <w:rPr>
          <w:rFonts w:hint="eastAsia" w:ascii="仿宋_GB2312" w:hAnsi="仿宋" w:eastAsia="仿宋_GB2312"/>
          <w:sz w:val="32"/>
          <w:szCs w:val="32"/>
          <w:highlight w:val="none"/>
          <w:lang w:val="en-US" w:eastAsia="zh-CN"/>
        </w:rPr>
        <w:t>1份</w:t>
      </w:r>
      <w:r>
        <w:rPr>
          <w:rFonts w:hint="eastAsia" w:ascii="仿宋_GB2312" w:hAnsi="仿宋" w:eastAsia="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、要详细策划设计项目内容，有具体题目，有明确具体的活动内容、组织实施途径和时间节点</w:t>
      </w:r>
      <w:r>
        <w:rPr>
          <w:rFonts w:hint="eastAsia" w:ascii="仿宋_GB2312" w:hAnsi="仿宋" w:eastAsia="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每个</w:t>
      </w:r>
      <w:r>
        <w:rPr>
          <w:rFonts w:hint="eastAsia" w:ascii="仿宋_GB2312" w:hAnsi="仿宋" w:eastAsia="仿宋_GB2312"/>
          <w:sz w:val="32"/>
          <w:szCs w:val="32"/>
          <w:highlight w:val="none"/>
        </w:rPr>
        <w:t>社会组织申报</w:t>
      </w:r>
      <w:r>
        <w:rPr>
          <w:rFonts w:hint="eastAsia" w:ascii="仿宋_GB2312" w:hAnsi="仿宋" w:eastAsia="仿宋_GB2312"/>
          <w:sz w:val="32"/>
          <w:szCs w:val="32"/>
          <w:highlight w:val="none"/>
          <w:lang w:eastAsia="zh-CN"/>
        </w:rPr>
        <w:t>本</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eastAsia="zh-CN"/>
        </w:rPr>
        <w:t>仅限</w:t>
      </w:r>
      <w:r>
        <w:rPr>
          <w:rFonts w:hint="eastAsia" w:ascii="仿宋_GB2312" w:hAnsi="仿宋" w:eastAsia="仿宋_GB2312"/>
          <w:sz w:val="32"/>
          <w:szCs w:val="32"/>
          <w:highlight w:val="none"/>
          <w:lang w:val="en-US" w:eastAsia="zh-CN"/>
        </w:rPr>
        <w:t>1个</w:t>
      </w:r>
      <w:r>
        <w:rPr>
          <w:rFonts w:hint="eastAsia" w:ascii="仿宋_GB2312" w:hAnsi="仿宋" w:eastAsia="仿宋_GB2312"/>
          <w:sz w:val="32"/>
          <w:szCs w:val="32"/>
          <w:highlight w:val="none"/>
        </w:rPr>
        <w:t>。鼓励支持申报品牌性、创新性、</w:t>
      </w:r>
      <w:r>
        <w:rPr>
          <w:rFonts w:hint="eastAsia" w:ascii="仿宋_GB2312" w:hAnsi="仿宋" w:eastAsia="仿宋_GB2312"/>
          <w:sz w:val="32"/>
          <w:szCs w:val="32"/>
          <w:highlight w:val="none"/>
          <w:lang w:eastAsia="zh-CN"/>
        </w:rPr>
        <w:t>精准</w:t>
      </w:r>
      <w:r>
        <w:rPr>
          <w:rFonts w:hint="eastAsia" w:ascii="仿宋_GB2312" w:hAnsi="仿宋" w:eastAsia="仿宋_GB2312"/>
          <w:sz w:val="32"/>
          <w:szCs w:val="32"/>
          <w:highlight w:val="none"/>
        </w:rPr>
        <w:t>性</w:t>
      </w:r>
      <w:r>
        <w:rPr>
          <w:rFonts w:hint="eastAsia" w:ascii="仿宋_GB2312" w:hAnsi="仿宋" w:eastAsia="仿宋_GB2312"/>
          <w:sz w:val="32"/>
          <w:szCs w:val="32"/>
          <w:highlight w:val="none"/>
          <w:lang w:eastAsia="zh-CN"/>
        </w:rPr>
        <w:t>等</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七</w:t>
      </w:r>
      <w:r>
        <w:rPr>
          <w:rFonts w:hint="eastAsia" w:ascii="黑体" w:hAnsi="黑体" w:eastAsia="黑体"/>
          <w:sz w:val="32"/>
          <w:szCs w:val="32"/>
          <w:highlight w:val="none"/>
        </w:rPr>
        <w:t>、申报方式</w:t>
      </w:r>
      <w:r>
        <w:rPr>
          <w:rFonts w:hint="eastAsia" w:ascii="黑体" w:hAnsi="黑体" w:eastAsia="黑体"/>
          <w:sz w:val="32"/>
          <w:szCs w:val="32"/>
          <w:highlight w:val="none"/>
        </w:rPr>
        <w:tab/>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1、项目申报书电子版发送到邮箱</w:t>
      </w:r>
      <w:r>
        <w:rPr>
          <w:rFonts w:hint="eastAsia" w:ascii="方正仿宋_GBK" w:hAnsi="方正仿宋_GBK" w:eastAsia="方正仿宋_GBK" w:cs="方正仿宋_GBK"/>
          <w:sz w:val="32"/>
          <w:szCs w:val="32"/>
          <w:highlight w:val="none"/>
          <w:lang w:val="en-US" w:eastAsia="zh-CN"/>
        </w:rPr>
        <w:t>mzjshzzk@bjhr.gov.cn</w:t>
      </w:r>
      <w:r>
        <w:rPr>
          <w:rFonts w:hint="eastAsia" w:ascii="仿宋_GB2312" w:hAnsi="仿宋" w:eastAsia="仿宋_GB2312"/>
          <w:sz w:val="32"/>
          <w:szCs w:val="32"/>
          <w:highlight w:val="none"/>
        </w:rPr>
        <w:t>，并进行电话确认，纸质版盖章签字后一式两份报送至区委</w:t>
      </w:r>
      <w:r>
        <w:rPr>
          <w:rFonts w:ascii="仿宋_GB2312" w:hAnsi="仿宋" w:eastAsia="仿宋_GB2312"/>
          <w:sz w:val="32"/>
          <w:szCs w:val="32"/>
          <w:highlight w:val="none"/>
        </w:rPr>
        <w:t>社会工委</w:t>
      </w:r>
      <w:r>
        <w:rPr>
          <w:rFonts w:hint="eastAsia" w:ascii="仿宋_GB2312" w:hAnsi="仿宋" w:eastAsia="仿宋_GB2312"/>
          <w:sz w:val="32"/>
          <w:szCs w:val="32"/>
          <w:highlight w:val="none"/>
          <w:lang w:eastAsia="zh-CN"/>
        </w:rPr>
        <w:t>区民政局社会组织和社会动员科</w:t>
      </w:r>
      <w:r>
        <w:rPr>
          <w:rFonts w:hint="eastAsia" w:ascii="仿宋_GB2312" w:hAnsi="仿宋" w:eastAsia="仿宋_GB2312"/>
          <w:sz w:val="32"/>
          <w:szCs w:val="32"/>
          <w:highlight w:val="none"/>
        </w:rPr>
        <w:t>。截止时间20</w:t>
      </w:r>
      <w:r>
        <w:rPr>
          <w:rFonts w:hint="eastAsia" w:ascii="仿宋_GB2312" w:hAnsi="仿宋" w:eastAsia="仿宋_GB2312"/>
          <w:sz w:val="32"/>
          <w:szCs w:val="32"/>
          <w:highlight w:val="none"/>
          <w:lang w:val="en-US" w:eastAsia="zh-CN"/>
        </w:rPr>
        <w:t>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15</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lang w:val="en-US" w:eastAsia="zh-CN"/>
        </w:rPr>
        <w:t>17:00</w:t>
      </w:r>
      <w:r>
        <w:rPr>
          <w:rFonts w:hint="eastAsia" w:ascii="仿宋_GB2312" w:hAnsi="仿宋" w:eastAsia="仿宋_GB2312"/>
          <w:sz w:val="32"/>
          <w:szCs w:val="32"/>
          <w:highlight w:val="none"/>
        </w:rPr>
        <w:t>，逾期不再接受申报</w:t>
      </w:r>
      <w:r>
        <w:rPr>
          <w:rFonts w:hint="eastAsia" w:ascii="仿宋_GB2312" w:hAnsi="仿宋" w:eastAsia="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ascii="仿宋_GB2312" w:hAnsi="仿宋" w:eastAsia="仿宋_GB2312"/>
          <w:sz w:val="32"/>
          <w:szCs w:val="32"/>
          <w:highlight w:val="none"/>
        </w:rPr>
      </w:pPr>
      <w:r>
        <w:rPr>
          <w:rFonts w:ascii="仿宋_GB2312" w:hAnsi="仿宋" w:eastAsia="仿宋_GB2312"/>
          <w:sz w:val="32"/>
          <w:szCs w:val="32"/>
          <w:highlight w:val="none"/>
        </w:rPr>
        <w:t>2</w:t>
      </w:r>
      <w:r>
        <w:rPr>
          <w:rFonts w:hint="eastAsia" w:ascii="仿宋_GB2312" w:hAnsi="仿宋" w:eastAsia="仿宋_GB2312"/>
          <w:sz w:val="32"/>
          <w:szCs w:val="32"/>
          <w:highlight w:val="none"/>
        </w:rPr>
        <w:t>、项目申报单位需按照相关要求认真撰写和校对项目申报书，确认无误。上交后如有不符合要求的项目申报书将按照不合格项目书处理，取消申报资格</w:t>
      </w:r>
      <w:r>
        <w:rPr>
          <w:rFonts w:hint="eastAsia" w:ascii="仿宋_GB2312" w:hAnsi="仿宋" w:eastAsia="仿宋_GB2312"/>
          <w:sz w:val="32"/>
          <w:szCs w:val="32"/>
          <w:highlight w:val="none"/>
          <w:lang w:eastAsia="zh-CN"/>
        </w:rPr>
        <w:t>；</w:t>
      </w:r>
    </w:p>
    <w:p>
      <w:pPr>
        <w:spacing w:line="48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3、</w:t>
      </w:r>
      <w:r>
        <w:rPr>
          <w:rFonts w:hint="eastAsia" w:ascii="仿宋_GB2312" w:hAnsi="仿宋" w:eastAsia="仿宋_GB2312"/>
          <w:sz w:val="32"/>
          <w:szCs w:val="32"/>
          <w:highlight w:val="none"/>
          <w:lang w:eastAsia="zh-CN"/>
        </w:rPr>
        <w:t>具体项目遴选和评审工作由有资质的第三方负责初审，由项目评选工作领导小组进行终审，对遴选入围的项目，区委社会工委区民政局采取奖励扶持的方式予以支持。</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八、项目时间安排</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bookmarkStart w:id="0" w:name="_GoBack"/>
      <w:r>
        <w:rPr>
          <w:rFonts w:hint="eastAsia" w:ascii="仿宋_GB2312" w:hAnsi="仿宋" w:eastAsia="仿宋_GB2312"/>
          <w:sz w:val="32"/>
          <w:szCs w:val="32"/>
          <w:highlight w:val="none"/>
          <w:lang w:val="en-US" w:eastAsia="zh-CN"/>
        </w:rPr>
        <w:t>1、6月上旬，项目征集；</w:t>
      </w:r>
    </w:p>
    <w:p>
      <w:pPr>
        <w:pStyle w:val="2"/>
        <w:rPr>
          <w:rFonts w:hint="default"/>
          <w:highlight w:val="none"/>
          <w:lang w:val="en-US" w:eastAsia="zh-CN"/>
        </w:rPr>
      </w:pPr>
      <w:r>
        <w:rPr>
          <w:rFonts w:hint="default" w:ascii="仿宋_GB2312" w:hAnsi="仿宋" w:eastAsia="仿宋_GB2312"/>
          <w:sz w:val="32"/>
          <w:szCs w:val="32"/>
          <w:highlight w:val="none"/>
          <w:lang w:val="en" w:eastAsia="zh-CN"/>
        </w:rPr>
        <w:t xml:space="preserve">    </w:t>
      </w:r>
      <w:r>
        <w:rPr>
          <w:rFonts w:hint="eastAsia" w:ascii="仿宋_GB2312" w:hAnsi="仿宋" w:eastAsia="仿宋_GB2312"/>
          <w:sz w:val="32"/>
          <w:szCs w:val="32"/>
          <w:highlight w:val="none"/>
          <w:lang w:val="en-US" w:eastAsia="zh-CN"/>
        </w:rPr>
        <w:t>2、6月下旬，召开动员部署会；</w:t>
      </w:r>
    </w:p>
    <w:p>
      <w:pPr>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3、7月至10月底项目实施。</w:t>
      </w:r>
    </w:p>
    <w:bookmarkEnd w:id="0"/>
    <w:p>
      <w:pPr>
        <w:pageBreakBefore w:val="0"/>
        <w:widowControl w:val="0"/>
        <w:numPr>
          <w:ilvl w:val="0"/>
          <w:numId w:val="3"/>
        </w:numPr>
        <w:kinsoku/>
        <w:wordWrap/>
        <w:overflowPunct/>
        <w:topLinePunct w:val="0"/>
        <w:autoSpaceDE/>
        <w:autoSpaceDN/>
        <w:bidi w:val="0"/>
        <w:adjustRightInd/>
        <w:snapToGrid/>
        <w:spacing w:line="530" w:lineRule="exact"/>
        <w:ind w:left="0" w:leftChars="0" w:right="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组织架构和经费预算</w:t>
      </w:r>
    </w:p>
    <w:p>
      <w:pPr>
        <w:pageBreakBefore w:val="0"/>
        <w:widowControl w:val="0"/>
        <w:numPr>
          <w:ilvl w:val="0"/>
          <w:numId w:val="0"/>
        </w:numPr>
        <w:kinsoku/>
        <w:wordWrap/>
        <w:overflowPunct/>
        <w:topLinePunct w:val="0"/>
        <w:autoSpaceDE/>
        <w:autoSpaceDN/>
        <w:bidi w:val="0"/>
        <w:adjustRightInd/>
        <w:snapToGrid/>
        <w:spacing w:line="53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项目奖励扶持资金共20万元，奖励扶持项目数以项目评选工作领导小组终审结果为准，</w:t>
      </w:r>
      <w:r>
        <w:rPr>
          <w:rFonts w:hint="eastAsia" w:ascii="仿宋_GB2312" w:hAnsi="仿宋_GB2312" w:eastAsia="仿宋_GB2312" w:cs="仿宋_GB2312"/>
          <w:sz w:val="32"/>
          <w:szCs w:val="32"/>
          <w:highlight w:val="none"/>
        </w:rPr>
        <w:t>资金从</w:t>
      </w:r>
      <w:r>
        <w:rPr>
          <w:rFonts w:hint="eastAsia" w:ascii="仿宋_GB2312" w:hAnsi="仿宋_GB2312" w:eastAsia="仿宋_GB2312" w:cs="仿宋_GB2312"/>
          <w:sz w:val="32"/>
          <w:szCs w:val="32"/>
          <w:highlight w:val="none"/>
          <w:lang w:val="en-US" w:eastAsia="zh-CN"/>
        </w:rPr>
        <w:t>2023年</w:t>
      </w:r>
      <w:r>
        <w:rPr>
          <w:rFonts w:hint="eastAsia" w:ascii="仿宋_GB2312" w:hAnsi="仿宋_GB2312" w:eastAsia="仿宋_GB2312" w:cs="仿宋_GB2312"/>
          <w:sz w:val="32"/>
          <w:szCs w:val="32"/>
          <w:highlight w:val="none"/>
        </w:rPr>
        <w:t>市对区社会建设一般性转移支付中列支。</w:t>
      </w:r>
    </w:p>
    <w:p>
      <w:pPr>
        <w:pageBreakBefore w:val="0"/>
        <w:widowControl w:val="0"/>
        <w:kinsoku/>
        <w:wordWrap/>
        <w:overflowPunct/>
        <w:topLinePunct w:val="0"/>
        <w:autoSpaceDE/>
        <w:autoSpaceDN/>
        <w:bidi w:val="0"/>
        <w:adjustRightInd/>
        <w:snapToGrid/>
        <w:spacing w:line="530" w:lineRule="exact"/>
        <w:ind w:right="0" w:firstLine="640" w:firstLineChars="200"/>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十、项目评选工作领导小组</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区委社会工委书记、区民政局局长 </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区委社会工委委员、区民政局副局长（主管社会组织）</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区委社会工委委员、区民政局副局长（主管社会建设）</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区委社会工委、区民政局调研员（主管财务）</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区民政局财计科科长</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区民政局办公室主任</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区民政局社会组织和社会动员科科长</w:t>
      </w: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p>
    <w:p>
      <w:pPr>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仿宋_GB2312" w:hAnsi="仿宋" w:eastAsia="仿宋_GB2312"/>
          <w:sz w:val="32"/>
          <w:szCs w:val="32"/>
          <w:highlight w:val="none"/>
          <w:lang w:val="en-US" w:eastAsia="zh-CN"/>
        </w:rPr>
      </w:pPr>
    </w:p>
    <w:p>
      <w:pPr>
        <w:pageBreakBefore w:val="0"/>
        <w:widowControl w:val="0"/>
        <w:kinsoku/>
        <w:wordWrap/>
        <w:overflowPunct/>
        <w:topLinePunct w:val="0"/>
        <w:autoSpaceDE/>
        <w:autoSpaceDN/>
        <w:bidi w:val="0"/>
        <w:adjustRightInd/>
        <w:snapToGrid/>
        <w:spacing w:line="530" w:lineRule="exact"/>
        <w:ind w:left="0" w:leftChars="0" w:right="0" w:firstLine="640" w:firstLineChars="200"/>
        <w:jc w:val="right"/>
        <w:textAlignment w:val="auto"/>
        <w:rPr>
          <w:rFonts w:hint="eastAsia" w:ascii="仿宋_GB2312" w:hAnsi="仿宋" w:eastAsia="仿宋_GB2312"/>
          <w:sz w:val="32"/>
          <w:szCs w:val="32"/>
          <w:highlight w:val="none"/>
          <w:lang w:val="en-US" w:eastAsia="zh-CN"/>
        </w:rPr>
      </w:pPr>
    </w:p>
    <w:p>
      <w:pPr>
        <w:pageBreakBefore w:val="0"/>
        <w:widowControl w:val="0"/>
        <w:kinsoku/>
        <w:wordWrap/>
        <w:overflowPunct/>
        <w:topLinePunct w:val="0"/>
        <w:autoSpaceDE/>
        <w:autoSpaceDN/>
        <w:bidi w:val="0"/>
        <w:adjustRightInd/>
        <w:snapToGrid/>
        <w:spacing w:line="530" w:lineRule="exact"/>
        <w:ind w:right="0"/>
        <w:textAlignment w:val="auto"/>
        <w:rPr>
          <w:rFonts w:hint="eastAsia" w:ascii="仿宋_GB2312" w:hAnsi="仿宋" w:eastAsia="仿宋_GB2312"/>
          <w:sz w:val="32"/>
          <w:szCs w:val="32"/>
          <w:highlight w:val="none"/>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AAE1C"/>
    <w:multiLevelType w:val="singleLevel"/>
    <w:tmpl w:val="BABAAE1C"/>
    <w:lvl w:ilvl="0" w:tentative="0">
      <w:start w:val="1"/>
      <w:numFmt w:val="chineseCounting"/>
      <w:suff w:val="nothing"/>
      <w:lvlText w:val="%1、"/>
      <w:lvlJc w:val="left"/>
      <w:rPr>
        <w:rFonts w:hint="eastAsia"/>
      </w:rPr>
    </w:lvl>
  </w:abstractNum>
  <w:abstractNum w:abstractNumId="1">
    <w:nsid w:val="5F0D5FEF"/>
    <w:multiLevelType w:val="singleLevel"/>
    <w:tmpl w:val="5F0D5FEF"/>
    <w:lvl w:ilvl="0" w:tentative="0">
      <w:start w:val="6"/>
      <w:numFmt w:val="chineseCounting"/>
      <w:suff w:val="nothing"/>
      <w:lvlText w:val="%1、"/>
      <w:lvlJc w:val="left"/>
    </w:lvl>
  </w:abstractNum>
  <w:abstractNum w:abstractNumId="2">
    <w:nsid w:val="5F0D6330"/>
    <w:multiLevelType w:val="singleLevel"/>
    <w:tmpl w:val="5F0D6330"/>
    <w:lvl w:ilvl="0" w:tentative="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C6"/>
    <w:rsid w:val="000020F6"/>
    <w:rsid w:val="0000634D"/>
    <w:rsid w:val="00010AD3"/>
    <w:rsid w:val="00012796"/>
    <w:rsid w:val="000158C1"/>
    <w:rsid w:val="00021F72"/>
    <w:rsid w:val="00022E72"/>
    <w:rsid w:val="00026F87"/>
    <w:rsid w:val="000447A7"/>
    <w:rsid w:val="000448F3"/>
    <w:rsid w:val="000537F7"/>
    <w:rsid w:val="000548CF"/>
    <w:rsid w:val="00063E19"/>
    <w:rsid w:val="000668D5"/>
    <w:rsid w:val="000745C3"/>
    <w:rsid w:val="00076C1F"/>
    <w:rsid w:val="00085340"/>
    <w:rsid w:val="00087F09"/>
    <w:rsid w:val="0009023F"/>
    <w:rsid w:val="00094A58"/>
    <w:rsid w:val="0009576B"/>
    <w:rsid w:val="000974DD"/>
    <w:rsid w:val="000A39A2"/>
    <w:rsid w:val="000A48D2"/>
    <w:rsid w:val="000B1D06"/>
    <w:rsid w:val="000B2B65"/>
    <w:rsid w:val="000B4D82"/>
    <w:rsid w:val="000B5D5F"/>
    <w:rsid w:val="000B6E7B"/>
    <w:rsid w:val="000C0CEC"/>
    <w:rsid w:val="000C2025"/>
    <w:rsid w:val="000E0419"/>
    <w:rsid w:val="000E08EF"/>
    <w:rsid w:val="000E27B5"/>
    <w:rsid w:val="000E528A"/>
    <w:rsid w:val="000F046F"/>
    <w:rsid w:val="001005D1"/>
    <w:rsid w:val="001073AD"/>
    <w:rsid w:val="00111C44"/>
    <w:rsid w:val="00120244"/>
    <w:rsid w:val="001204F9"/>
    <w:rsid w:val="001208BF"/>
    <w:rsid w:val="00120934"/>
    <w:rsid w:val="001265B4"/>
    <w:rsid w:val="00132653"/>
    <w:rsid w:val="00137275"/>
    <w:rsid w:val="0015638A"/>
    <w:rsid w:val="0017269C"/>
    <w:rsid w:val="001808E7"/>
    <w:rsid w:val="00185783"/>
    <w:rsid w:val="00194A4E"/>
    <w:rsid w:val="001B13A2"/>
    <w:rsid w:val="001B1E7A"/>
    <w:rsid w:val="001B20ED"/>
    <w:rsid w:val="001B28B4"/>
    <w:rsid w:val="001C2237"/>
    <w:rsid w:val="001D2D61"/>
    <w:rsid w:val="001E3F42"/>
    <w:rsid w:val="001E408E"/>
    <w:rsid w:val="001F4A6F"/>
    <w:rsid w:val="00203003"/>
    <w:rsid w:val="00204E15"/>
    <w:rsid w:val="00215BFA"/>
    <w:rsid w:val="002212D0"/>
    <w:rsid w:val="00227342"/>
    <w:rsid w:val="00235285"/>
    <w:rsid w:val="00243E64"/>
    <w:rsid w:val="002607F6"/>
    <w:rsid w:val="00260930"/>
    <w:rsid w:val="00270E81"/>
    <w:rsid w:val="00277CF9"/>
    <w:rsid w:val="00280847"/>
    <w:rsid w:val="00283112"/>
    <w:rsid w:val="0028513D"/>
    <w:rsid w:val="002B250C"/>
    <w:rsid w:val="002B546F"/>
    <w:rsid w:val="002B68AC"/>
    <w:rsid w:val="002C23D7"/>
    <w:rsid w:val="002C5B59"/>
    <w:rsid w:val="002C761E"/>
    <w:rsid w:val="002D66E0"/>
    <w:rsid w:val="002F4B0C"/>
    <w:rsid w:val="003001A0"/>
    <w:rsid w:val="003106F4"/>
    <w:rsid w:val="00320A42"/>
    <w:rsid w:val="003260F3"/>
    <w:rsid w:val="00330C0A"/>
    <w:rsid w:val="003315BF"/>
    <w:rsid w:val="00336505"/>
    <w:rsid w:val="00346E50"/>
    <w:rsid w:val="00354F27"/>
    <w:rsid w:val="00356062"/>
    <w:rsid w:val="003724C0"/>
    <w:rsid w:val="003A0CE7"/>
    <w:rsid w:val="003A30D9"/>
    <w:rsid w:val="003B3320"/>
    <w:rsid w:val="003C0E32"/>
    <w:rsid w:val="003C15D3"/>
    <w:rsid w:val="003C5F93"/>
    <w:rsid w:val="003D42A4"/>
    <w:rsid w:val="003F10E2"/>
    <w:rsid w:val="003F16AD"/>
    <w:rsid w:val="00402393"/>
    <w:rsid w:val="00406A6B"/>
    <w:rsid w:val="00424F6C"/>
    <w:rsid w:val="00434A62"/>
    <w:rsid w:val="00436691"/>
    <w:rsid w:val="00440602"/>
    <w:rsid w:val="004422DE"/>
    <w:rsid w:val="004542E0"/>
    <w:rsid w:val="004643FC"/>
    <w:rsid w:val="00465E6D"/>
    <w:rsid w:val="0047438D"/>
    <w:rsid w:val="00486B54"/>
    <w:rsid w:val="004A7EAE"/>
    <w:rsid w:val="004B312C"/>
    <w:rsid w:val="004B7988"/>
    <w:rsid w:val="004C0074"/>
    <w:rsid w:val="004D0A56"/>
    <w:rsid w:val="004D6B9E"/>
    <w:rsid w:val="004E44B3"/>
    <w:rsid w:val="004F26BC"/>
    <w:rsid w:val="00502602"/>
    <w:rsid w:val="00502AD4"/>
    <w:rsid w:val="00510322"/>
    <w:rsid w:val="0051305B"/>
    <w:rsid w:val="0051658F"/>
    <w:rsid w:val="00517268"/>
    <w:rsid w:val="005178F1"/>
    <w:rsid w:val="00521A1F"/>
    <w:rsid w:val="00525D62"/>
    <w:rsid w:val="005338B5"/>
    <w:rsid w:val="005510E8"/>
    <w:rsid w:val="00553C56"/>
    <w:rsid w:val="00571B40"/>
    <w:rsid w:val="0057598F"/>
    <w:rsid w:val="005857B3"/>
    <w:rsid w:val="005859FE"/>
    <w:rsid w:val="005946BD"/>
    <w:rsid w:val="00595D87"/>
    <w:rsid w:val="00597B52"/>
    <w:rsid w:val="005A3BD8"/>
    <w:rsid w:val="005A4B50"/>
    <w:rsid w:val="005B22D9"/>
    <w:rsid w:val="005C2CDE"/>
    <w:rsid w:val="005E3F23"/>
    <w:rsid w:val="005E4355"/>
    <w:rsid w:val="005E73AD"/>
    <w:rsid w:val="005F319B"/>
    <w:rsid w:val="005F3B23"/>
    <w:rsid w:val="005F451A"/>
    <w:rsid w:val="005F7AD2"/>
    <w:rsid w:val="00606356"/>
    <w:rsid w:val="00611B1B"/>
    <w:rsid w:val="00613EF8"/>
    <w:rsid w:val="00616E96"/>
    <w:rsid w:val="00620B58"/>
    <w:rsid w:val="00623771"/>
    <w:rsid w:val="00625963"/>
    <w:rsid w:val="0063118A"/>
    <w:rsid w:val="00631C51"/>
    <w:rsid w:val="00635674"/>
    <w:rsid w:val="0064198C"/>
    <w:rsid w:val="00641D54"/>
    <w:rsid w:val="0064367D"/>
    <w:rsid w:val="00647F34"/>
    <w:rsid w:val="00653A4D"/>
    <w:rsid w:val="00665D13"/>
    <w:rsid w:val="00674A48"/>
    <w:rsid w:val="006771DB"/>
    <w:rsid w:val="00681D5F"/>
    <w:rsid w:val="00681F36"/>
    <w:rsid w:val="00682115"/>
    <w:rsid w:val="00684A2E"/>
    <w:rsid w:val="00690528"/>
    <w:rsid w:val="006A1103"/>
    <w:rsid w:val="006A3429"/>
    <w:rsid w:val="006B271D"/>
    <w:rsid w:val="006B52B3"/>
    <w:rsid w:val="006B6A44"/>
    <w:rsid w:val="006B73A3"/>
    <w:rsid w:val="006D27C3"/>
    <w:rsid w:val="006D2E74"/>
    <w:rsid w:val="006D3513"/>
    <w:rsid w:val="006D5EF1"/>
    <w:rsid w:val="006E025B"/>
    <w:rsid w:val="006E567A"/>
    <w:rsid w:val="006E5E78"/>
    <w:rsid w:val="006E6AA4"/>
    <w:rsid w:val="007020D2"/>
    <w:rsid w:val="007213BA"/>
    <w:rsid w:val="00721774"/>
    <w:rsid w:val="0072469D"/>
    <w:rsid w:val="00735F26"/>
    <w:rsid w:val="00741AB0"/>
    <w:rsid w:val="007441E9"/>
    <w:rsid w:val="00756B74"/>
    <w:rsid w:val="00760F80"/>
    <w:rsid w:val="00772582"/>
    <w:rsid w:val="007741AD"/>
    <w:rsid w:val="00783A17"/>
    <w:rsid w:val="00790F94"/>
    <w:rsid w:val="007A79E5"/>
    <w:rsid w:val="007B0C13"/>
    <w:rsid w:val="007B364A"/>
    <w:rsid w:val="007D7B35"/>
    <w:rsid w:val="007E1AB2"/>
    <w:rsid w:val="007E231C"/>
    <w:rsid w:val="007E539F"/>
    <w:rsid w:val="00802447"/>
    <w:rsid w:val="00811989"/>
    <w:rsid w:val="00811B57"/>
    <w:rsid w:val="00812963"/>
    <w:rsid w:val="00814BF1"/>
    <w:rsid w:val="00820353"/>
    <w:rsid w:val="008204BA"/>
    <w:rsid w:val="00840E4C"/>
    <w:rsid w:val="008555F2"/>
    <w:rsid w:val="00860960"/>
    <w:rsid w:val="008701B8"/>
    <w:rsid w:val="00871C96"/>
    <w:rsid w:val="00875551"/>
    <w:rsid w:val="00877002"/>
    <w:rsid w:val="00881C2F"/>
    <w:rsid w:val="00886036"/>
    <w:rsid w:val="00886A42"/>
    <w:rsid w:val="00891002"/>
    <w:rsid w:val="00891383"/>
    <w:rsid w:val="00894ABD"/>
    <w:rsid w:val="008A2B7B"/>
    <w:rsid w:val="008A3051"/>
    <w:rsid w:val="008A355F"/>
    <w:rsid w:val="008B65C1"/>
    <w:rsid w:val="008C0FC9"/>
    <w:rsid w:val="008C1725"/>
    <w:rsid w:val="008C3532"/>
    <w:rsid w:val="008C4D5C"/>
    <w:rsid w:val="008D5A65"/>
    <w:rsid w:val="008D6DB8"/>
    <w:rsid w:val="008E0324"/>
    <w:rsid w:val="008E0FB6"/>
    <w:rsid w:val="008E1755"/>
    <w:rsid w:val="008F1494"/>
    <w:rsid w:val="0090202E"/>
    <w:rsid w:val="00907866"/>
    <w:rsid w:val="00926886"/>
    <w:rsid w:val="009456BA"/>
    <w:rsid w:val="00947239"/>
    <w:rsid w:val="0095033C"/>
    <w:rsid w:val="00953FE7"/>
    <w:rsid w:val="00955025"/>
    <w:rsid w:val="00965DD6"/>
    <w:rsid w:val="00967276"/>
    <w:rsid w:val="00973BBE"/>
    <w:rsid w:val="009745E7"/>
    <w:rsid w:val="00976ED5"/>
    <w:rsid w:val="00980B99"/>
    <w:rsid w:val="009814B5"/>
    <w:rsid w:val="0098717B"/>
    <w:rsid w:val="00996DE9"/>
    <w:rsid w:val="009A4D75"/>
    <w:rsid w:val="009A50E7"/>
    <w:rsid w:val="009B3853"/>
    <w:rsid w:val="009B7BA8"/>
    <w:rsid w:val="009C2C15"/>
    <w:rsid w:val="009E7868"/>
    <w:rsid w:val="009F5550"/>
    <w:rsid w:val="00A005B3"/>
    <w:rsid w:val="00A074DC"/>
    <w:rsid w:val="00A234FD"/>
    <w:rsid w:val="00A27EBE"/>
    <w:rsid w:val="00A31727"/>
    <w:rsid w:val="00A44CC9"/>
    <w:rsid w:val="00A47A80"/>
    <w:rsid w:val="00A553AF"/>
    <w:rsid w:val="00A56A1B"/>
    <w:rsid w:val="00A63E5D"/>
    <w:rsid w:val="00A66EDE"/>
    <w:rsid w:val="00A7314D"/>
    <w:rsid w:val="00A734E6"/>
    <w:rsid w:val="00A74597"/>
    <w:rsid w:val="00AA0A1B"/>
    <w:rsid w:val="00AA757F"/>
    <w:rsid w:val="00AB7E46"/>
    <w:rsid w:val="00AC45A1"/>
    <w:rsid w:val="00AC531A"/>
    <w:rsid w:val="00AC5920"/>
    <w:rsid w:val="00AC6001"/>
    <w:rsid w:val="00AE276C"/>
    <w:rsid w:val="00AE2DFF"/>
    <w:rsid w:val="00AE3F2D"/>
    <w:rsid w:val="00AE43D2"/>
    <w:rsid w:val="00AE6419"/>
    <w:rsid w:val="00AE6985"/>
    <w:rsid w:val="00AE7ED6"/>
    <w:rsid w:val="00AF76A2"/>
    <w:rsid w:val="00B11D71"/>
    <w:rsid w:val="00B24219"/>
    <w:rsid w:val="00B24CB2"/>
    <w:rsid w:val="00B27173"/>
    <w:rsid w:val="00B34EB1"/>
    <w:rsid w:val="00B43452"/>
    <w:rsid w:val="00B4390F"/>
    <w:rsid w:val="00B5101C"/>
    <w:rsid w:val="00B51D11"/>
    <w:rsid w:val="00B53EDD"/>
    <w:rsid w:val="00B57DF5"/>
    <w:rsid w:val="00B60219"/>
    <w:rsid w:val="00B65526"/>
    <w:rsid w:val="00B82286"/>
    <w:rsid w:val="00B82F3E"/>
    <w:rsid w:val="00B84AEF"/>
    <w:rsid w:val="00BB0A44"/>
    <w:rsid w:val="00BB1CA5"/>
    <w:rsid w:val="00BB679A"/>
    <w:rsid w:val="00BC35D1"/>
    <w:rsid w:val="00BE458A"/>
    <w:rsid w:val="00BE59CF"/>
    <w:rsid w:val="00BF11CE"/>
    <w:rsid w:val="00BF4B13"/>
    <w:rsid w:val="00C05348"/>
    <w:rsid w:val="00C05973"/>
    <w:rsid w:val="00C0751D"/>
    <w:rsid w:val="00C10F9F"/>
    <w:rsid w:val="00C13EFD"/>
    <w:rsid w:val="00C149CD"/>
    <w:rsid w:val="00C2493C"/>
    <w:rsid w:val="00C34329"/>
    <w:rsid w:val="00C467D5"/>
    <w:rsid w:val="00C47A1D"/>
    <w:rsid w:val="00C61E04"/>
    <w:rsid w:val="00C71BC6"/>
    <w:rsid w:val="00C740DE"/>
    <w:rsid w:val="00C74C8C"/>
    <w:rsid w:val="00C81B7B"/>
    <w:rsid w:val="00C9332C"/>
    <w:rsid w:val="00C962B5"/>
    <w:rsid w:val="00CE7C4C"/>
    <w:rsid w:val="00CF1E9A"/>
    <w:rsid w:val="00CF6AA5"/>
    <w:rsid w:val="00D07184"/>
    <w:rsid w:val="00D10CE6"/>
    <w:rsid w:val="00D139C2"/>
    <w:rsid w:val="00D17F37"/>
    <w:rsid w:val="00D20CEB"/>
    <w:rsid w:val="00D20E6E"/>
    <w:rsid w:val="00D273E0"/>
    <w:rsid w:val="00D315A4"/>
    <w:rsid w:val="00D40544"/>
    <w:rsid w:val="00D45162"/>
    <w:rsid w:val="00D504E2"/>
    <w:rsid w:val="00D53019"/>
    <w:rsid w:val="00D55E2E"/>
    <w:rsid w:val="00D6206D"/>
    <w:rsid w:val="00D6254C"/>
    <w:rsid w:val="00D64E76"/>
    <w:rsid w:val="00D668C7"/>
    <w:rsid w:val="00D67183"/>
    <w:rsid w:val="00D72DFA"/>
    <w:rsid w:val="00D839E4"/>
    <w:rsid w:val="00D87AA6"/>
    <w:rsid w:val="00D9054E"/>
    <w:rsid w:val="00D9165D"/>
    <w:rsid w:val="00DA5A96"/>
    <w:rsid w:val="00DB34FC"/>
    <w:rsid w:val="00DC0CCC"/>
    <w:rsid w:val="00DD536F"/>
    <w:rsid w:val="00DD5387"/>
    <w:rsid w:val="00DF1D4C"/>
    <w:rsid w:val="00DF3945"/>
    <w:rsid w:val="00DF54D2"/>
    <w:rsid w:val="00E037A0"/>
    <w:rsid w:val="00E07C86"/>
    <w:rsid w:val="00E11E06"/>
    <w:rsid w:val="00E16492"/>
    <w:rsid w:val="00E164AB"/>
    <w:rsid w:val="00E21F5C"/>
    <w:rsid w:val="00E2497F"/>
    <w:rsid w:val="00E24EDE"/>
    <w:rsid w:val="00E351BC"/>
    <w:rsid w:val="00E60C09"/>
    <w:rsid w:val="00E7037A"/>
    <w:rsid w:val="00E74FA4"/>
    <w:rsid w:val="00E7675D"/>
    <w:rsid w:val="00E93D0C"/>
    <w:rsid w:val="00EA08C8"/>
    <w:rsid w:val="00EB1B4A"/>
    <w:rsid w:val="00EB36A4"/>
    <w:rsid w:val="00EC0F96"/>
    <w:rsid w:val="00EC1754"/>
    <w:rsid w:val="00EC19B5"/>
    <w:rsid w:val="00EC2318"/>
    <w:rsid w:val="00ED0415"/>
    <w:rsid w:val="00ED1F47"/>
    <w:rsid w:val="00ED1F92"/>
    <w:rsid w:val="00ED73B1"/>
    <w:rsid w:val="00ED760B"/>
    <w:rsid w:val="00F14971"/>
    <w:rsid w:val="00F2106C"/>
    <w:rsid w:val="00F227E1"/>
    <w:rsid w:val="00F22D5A"/>
    <w:rsid w:val="00F23F2D"/>
    <w:rsid w:val="00F24129"/>
    <w:rsid w:val="00F25BAF"/>
    <w:rsid w:val="00F37249"/>
    <w:rsid w:val="00F436D1"/>
    <w:rsid w:val="00F478FB"/>
    <w:rsid w:val="00F60FBC"/>
    <w:rsid w:val="00F63A34"/>
    <w:rsid w:val="00F714A8"/>
    <w:rsid w:val="00F7203A"/>
    <w:rsid w:val="00F72E73"/>
    <w:rsid w:val="00F7302F"/>
    <w:rsid w:val="00F76E54"/>
    <w:rsid w:val="00F80B68"/>
    <w:rsid w:val="00F861C9"/>
    <w:rsid w:val="00F906E6"/>
    <w:rsid w:val="00F93D16"/>
    <w:rsid w:val="00F94240"/>
    <w:rsid w:val="00FA17CE"/>
    <w:rsid w:val="00FB69FC"/>
    <w:rsid w:val="00FB6B53"/>
    <w:rsid w:val="00FB7F6E"/>
    <w:rsid w:val="00FC0F21"/>
    <w:rsid w:val="00FD2F27"/>
    <w:rsid w:val="00FD542A"/>
    <w:rsid w:val="00FE2ED2"/>
    <w:rsid w:val="00FF0B6E"/>
    <w:rsid w:val="00FF6E71"/>
    <w:rsid w:val="024F552D"/>
    <w:rsid w:val="02D463CF"/>
    <w:rsid w:val="031A65E9"/>
    <w:rsid w:val="058B0904"/>
    <w:rsid w:val="0684264C"/>
    <w:rsid w:val="06857ECF"/>
    <w:rsid w:val="078A7504"/>
    <w:rsid w:val="0962757A"/>
    <w:rsid w:val="0BB7116C"/>
    <w:rsid w:val="0CC779E7"/>
    <w:rsid w:val="0E5F75F9"/>
    <w:rsid w:val="0E9D2330"/>
    <w:rsid w:val="0FEC193B"/>
    <w:rsid w:val="10C646FA"/>
    <w:rsid w:val="12C5385E"/>
    <w:rsid w:val="132551D8"/>
    <w:rsid w:val="14EF7D49"/>
    <w:rsid w:val="15037F1B"/>
    <w:rsid w:val="156149C2"/>
    <w:rsid w:val="165A1DAA"/>
    <w:rsid w:val="16FC662F"/>
    <w:rsid w:val="17EF7DDE"/>
    <w:rsid w:val="18004C90"/>
    <w:rsid w:val="18283613"/>
    <w:rsid w:val="189746FE"/>
    <w:rsid w:val="18D415CB"/>
    <w:rsid w:val="19AE5ED7"/>
    <w:rsid w:val="1A087C56"/>
    <w:rsid w:val="1A396DDE"/>
    <w:rsid w:val="1B763D64"/>
    <w:rsid w:val="1BAA0BEC"/>
    <w:rsid w:val="1DD96C03"/>
    <w:rsid w:val="1E327029"/>
    <w:rsid w:val="20272EAF"/>
    <w:rsid w:val="21415B28"/>
    <w:rsid w:val="21F33896"/>
    <w:rsid w:val="220B0575"/>
    <w:rsid w:val="22442EBC"/>
    <w:rsid w:val="23974BEE"/>
    <w:rsid w:val="24477DE0"/>
    <w:rsid w:val="26760048"/>
    <w:rsid w:val="27F129DB"/>
    <w:rsid w:val="281921C9"/>
    <w:rsid w:val="28636455"/>
    <w:rsid w:val="29BC2FD3"/>
    <w:rsid w:val="2A5C2113"/>
    <w:rsid w:val="2AF019E3"/>
    <w:rsid w:val="2AFB351D"/>
    <w:rsid w:val="2B260E87"/>
    <w:rsid w:val="2B5C5333"/>
    <w:rsid w:val="2CE00723"/>
    <w:rsid w:val="2CF6146F"/>
    <w:rsid w:val="2D8D685C"/>
    <w:rsid w:val="2DF53F49"/>
    <w:rsid w:val="2E227964"/>
    <w:rsid w:val="2F462962"/>
    <w:rsid w:val="2F502FE6"/>
    <w:rsid w:val="30F229C1"/>
    <w:rsid w:val="317C7635"/>
    <w:rsid w:val="32425894"/>
    <w:rsid w:val="32C21C16"/>
    <w:rsid w:val="32E62BE6"/>
    <w:rsid w:val="343C601D"/>
    <w:rsid w:val="35A95619"/>
    <w:rsid w:val="36973861"/>
    <w:rsid w:val="36F63702"/>
    <w:rsid w:val="373C6B2F"/>
    <w:rsid w:val="38B2196F"/>
    <w:rsid w:val="3B471B5C"/>
    <w:rsid w:val="3BDB26B4"/>
    <w:rsid w:val="3CD25A78"/>
    <w:rsid w:val="3D695DB9"/>
    <w:rsid w:val="3D960B78"/>
    <w:rsid w:val="3E462295"/>
    <w:rsid w:val="40167D4D"/>
    <w:rsid w:val="41AB2E5B"/>
    <w:rsid w:val="427773FC"/>
    <w:rsid w:val="43464CCF"/>
    <w:rsid w:val="43E86D51"/>
    <w:rsid w:val="4439619F"/>
    <w:rsid w:val="47B92282"/>
    <w:rsid w:val="48460BD4"/>
    <w:rsid w:val="49051F29"/>
    <w:rsid w:val="496B63B6"/>
    <w:rsid w:val="49ED138E"/>
    <w:rsid w:val="4AC70A92"/>
    <w:rsid w:val="4AFC14FC"/>
    <w:rsid w:val="4B094DE2"/>
    <w:rsid w:val="4B6257F4"/>
    <w:rsid w:val="4DDA060D"/>
    <w:rsid w:val="4DDA63A2"/>
    <w:rsid w:val="4E197388"/>
    <w:rsid w:val="4FF03958"/>
    <w:rsid w:val="51873333"/>
    <w:rsid w:val="52483D98"/>
    <w:rsid w:val="52593C10"/>
    <w:rsid w:val="52962592"/>
    <w:rsid w:val="531F3478"/>
    <w:rsid w:val="54646D7F"/>
    <w:rsid w:val="54BC0A65"/>
    <w:rsid w:val="54EE3073"/>
    <w:rsid w:val="55237BD1"/>
    <w:rsid w:val="56162001"/>
    <w:rsid w:val="57225118"/>
    <w:rsid w:val="58CD0834"/>
    <w:rsid w:val="59500A6C"/>
    <w:rsid w:val="5C2834D9"/>
    <w:rsid w:val="5DE39D02"/>
    <w:rsid w:val="5EEB3071"/>
    <w:rsid w:val="5F6F4C8E"/>
    <w:rsid w:val="5F9A0CEC"/>
    <w:rsid w:val="5FFDCA39"/>
    <w:rsid w:val="621B0866"/>
    <w:rsid w:val="622A3265"/>
    <w:rsid w:val="6334470C"/>
    <w:rsid w:val="6718178C"/>
    <w:rsid w:val="69DE6302"/>
    <w:rsid w:val="6C264CF2"/>
    <w:rsid w:val="6C5A544B"/>
    <w:rsid w:val="6D0E5308"/>
    <w:rsid w:val="6DF75714"/>
    <w:rsid w:val="6E5416F2"/>
    <w:rsid w:val="6EE065CC"/>
    <w:rsid w:val="6F196D90"/>
    <w:rsid w:val="72EA5DFA"/>
    <w:rsid w:val="738467A2"/>
    <w:rsid w:val="74802994"/>
    <w:rsid w:val="7486626E"/>
    <w:rsid w:val="75B9FE0F"/>
    <w:rsid w:val="75F7191C"/>
    <w:rsid w:val="76DFB3B9"/>
    <w:rsid w:val="76FE3638"/>
    <w:rsid w:val="772F6D2F"/>
    <w:rsid w:val="773109EF"/>
    <w:rsid w:val="7933605E"/>
    <w:rsid w:val="798E037A"/>
    <w:rsid w:val="7A3E1E48"/>
    <w:rsid w:val="7A8048A5"/>
    <w:rsid w:val="7AD66BED"/>
    <w:rsid w:val="7B0C35BB"/>
    <w:rsid w:val="7DB3215D"/>
    <w:rsid w:val="7FBA90F2"/>
    <w:rsid w:val="7FDF1026"/>
    <w:rsid w:val="9F3B9361"/>
    <w:rsid w:val="A7BF8733"/>
    <w:rsid w:val="B6F78446"/>
    <w:rsid w:val="BFF7AF63"/>
    <w:rsid w:val="DF5EB2BC"/>
    <w:rsid w:val="E7DFBC26"/>
    <w:rsid w:val="EDF76F60"/>
    <w:rsid w:val="F67E8F36"/>
    <w:rsid w:val="F6DE01F5"/>
    <w:rsid w:val="FBF713F9"/>
    <w:rsid w:val="FCFFE291"/>
    <w:rsid w:val="FDEFF14F"/>
    <w:rsid w:val="FEDB562A"/>
    <w:rsid w:val="FEDF3CF1"/>
    <w:rsid w:val="FEE3CD1C"/>
    <w:rsid w:val="FEEF4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黑体"/>
      <w:sz w:val="32"/>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List Paragraph"/>
    <w:basedOn w:val="1"/>
    <w:qFormat/>
    <w:uiPriority w:val="34"/>
    <w:pPr>
      <w:ind w:firstLine="420" w:firstLineChars="200"/>
    </w:p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sz w:val="18"/>
      <w:szCs w:val="18"/>
    </w:rPr>
  </w:style>
  <w:style w:type="character" w:customStyle="1" w:styleId="17">
    <w:name w:val="标题 1 Char"/>
    <w:link w:val="4"/>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247</Words>
  <Characters>1411</Characters>
  <Lines>11</Lines>
  <Paragraphs>3</Paragraphs>
  <TotalTime>1</TotalTime>
  <ScaleCrop>false</ScaleCrop>
  <LinksUpToDate>false</LinksUpToDate>
  <CharactersWithSpaces>1655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2018-01-20T08:56:00Z</dcterms:created>
  <dc:creator>lenovo</dc:creator>
  <cp:lastModifiedBy>user</cp:lastModifiedBy>
  <cp:lastPrinted>2023-05-26T10:44:00Z</cp:lastPrinted>
  <dcterms:modified xsi:type="dcterms:W3CDTF">2023-06-01T09:29:59Z</dcterms:modified>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D1DF2FBDB71C4FC385F6BAF8F1A56D24</vt:lpwstr>
  </property>
</Properties>
</file>