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应用说明</w:t>
      </w:r>
    </w:p>
    <w:bookmarkEnd w:id="0"/>
    <w:p>
      <w:pPr>
        <w:spacing w:line="600" w:lineRule="exac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一、各项指标解释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建筑密度：</w:t>
      </w:r>
      <w:r>
        <w:rPr>
          <w:rFonts w:hint="eastAsia" w:ascii="仿宋_GB2312" w:eastAsia="仿宋_GB2312"/>
          <w:color w:val="000000"/>
          <w:sz w:val="32"/>
          <w:szCs w:val="32"/>
        </w:rPr>
        <w:t>项目用地范围内各种建、构筑物占地面积总和占项目用地面积的比例</w:t>
      </w:r>
      <w:r>
        <w:rPr>
          <w:rFonts w:ascii="仿宋_GB2312" w:eastAsia="仿宋_GB2312"/>
          <w:color w:val="000000"/>
          <w:sz w:val="32"/>
          <w:szCs w:val="32"/>
        </w:rPr>
        <w:t xml:space="preserve">。 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/>
          <w:color w:val="000000"/>
          <w:sz w:val="32"/>
          <w:szCs w:val="32"/>
        </w:rPr>
        <w:t>　　计算</w:t>
      </w:r>
      <w:r>
        <w:rPr>
          <w:rFonts w:hint="eastAsia" w:ascii="仿宋_GB2312" w:eastAsia="仿宋_GB2312"/>
          <w:color w:val="000000"/>
          <w:sz w:val="32"/>
          <w:szCs w:val="32"/>
        </w:rPr>
        <w:t>公式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建筑密度=（建筑物占地面积+构筑物占地面积）/项目建设用地面积×100%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容积率：</w:t>
      </w:r>
      <w:r>
        <w:rPr>
          <w:rFonts w:ascii="仿宋_GB2312" w:eastAsia="仿宋_GB2312"/>
          <w:sz w:val="32"/>
          <w:szCs w:val="32"/>
        </w:rPr>
        <w:t>又称建筑面积毛密度，项目用地范围内地上总建筑面积（但必须是正负0标高以上的建筑面积）与项目总用地面积的比值。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/>
          <w:color w:val="000000"/>
          <w:sz w:val="32"/>
          <w:szCs w:val="32"/>
        </w:rPr>
        <w:t>　　计算公式：容积率=</w:t>
      </w:r>
      <w:r>
        <w:rPr>
          <w:rFonts w:hint="eastAsia" w:ascii="仿宋_GB2312" w:eastAsia="仿宋_GB2312"/>
          <w:sz w:val="32"/>
          <w:szCs w:val="32"/>
        </w:rPr>
        <w:t>地上建筑面积/总用地面积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/>
          <w:color w:val="000000"/>
          <w:sz w:val="32"/>
          <w:szCs w:val="32"/>
        </w:rPr>
        <w:t>　　当建筑物层高超过8米，在计算容积率时该层建筑面积加倍计算。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（三）绿地率：项目用地范围内绿化面积占项目建设用地面积的比例。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计算公式：绿地率=</w:t>
      </w:r>
      <w:r>
        <w:rPr>
          <w:rFonts w:hint="eastAsia" w:ascii="仿宋_GB2312" w:eastAsia="仿宋_GB2312"/>
          <w:sz w:val="32"/>
          <w:szCs w:val="32"/>
        </w:rPr>
        <w:t>绿地面积/项目建设用地面积×100%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 xml:space="preserve">单位产值水耗：反映每万元产值消耗水资源的情况。 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/>
          <w:color w:val="000000"/>
          <w:sz w:val="32"/>
          <w:szCs w:val="32"/>
        </w:rPr>
        <w:t>　　计算公式：单位产值水耗=工业总取水量/工业总产值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单位产值能耗：反映每万元产值消耗能源资源（包括电力、燃气、燃油、煤炭）的情况。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计算公式：单位产值能耗=工业消耗各种能源折算成标煤</w:t>
      </w:r>
      <w:r>
        <w:rPr>
          <w:rFonts w:hint="eastAsia" w:ascii="仿宋_GB2312" w:eastAsia="仿宋_GB2312"/>
          <w:color w:val="000000"/>
          <w:sz w:val="32"/>
          <w:szCs w:val="32"/>
        </w:rPr>
        <w:t>总量</w:t>
      </w:r>
      <w:r>
        <w:rPr>
          <w:rFonts w:ascii="仿宋_GB2312" w:eastAsia="仿宋_GB2312"/>
          <w:color w:val="000000"/>
          <w:sz w:val="32"/>
          <w:szCs w:val="32"/>
        </w:rPr>
        <w:t xml:space="preserve">/工业总产值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（六）单位面积土地总投资</w:t>
      </w:r>
      <w:r>
        <w:rPr>
          <w:rFonts w:ascii="仿宋_GB2312" w:eastAsia="仿宋_GB2312"/>
          <w:color w:val="000000"/>
          <w:sz w:val="32"/>
          <w:szCs w:val="32"/>
        </w:rPr>
        <w:t>：项目用地范围内单位面积</w:t>
      </w:r>
      <w:r>
        <w:rPr>
          <w:rFonts w:hint="eastAsia" w:ascii="仿宋_GB2312" w:eastAsia="仿宋_GB2312"/>
          <w:color w:val="000000"/>
          <w:sz w:val="32"/>
          <w:szCs w:val="32"/>
        </w:rPr>
        <w:t>总</w:t>
      </w:r>
      <w:r>
        <w:rPr>
          <w:rFonts w:ascii="仿宋_GB2312" w:eastAsia="仿宋_GB2312"/>
          <w:color w:val="000000"/>
          <w:sz w:val="32"/>
          <w:szCs w:val="32"/>
        </w:rPr>
        <w:t>投资额。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计算公式：</w:t>
      </w:r>
      <w:r>
        <w:rPr>
          <w:rFonts w:hint="eastAsia" w:ascii="仿宋_GB2312" w:eastAsia="仿宋_GB2312"/>
          <w:color w:val="000000"/>
          <w:sz w:val="32"/>
          <w:szCs w:val="32"/>
        </w:rPr>
        <w:t>单位面积土地总投资</w:t>
      </w:r>
      <w:r>
        <w:rPr>
          <w:rFonts w:ascii="仿宋_GB2312" w:eastAsia="仿宋_GB2312"/>
          <w:color w:val="000000"/>
          <w:sz w:val="32"/>
          <w:szCs w:val="32"/>
        </w:rPr>
        <w:t>＝项目总投资</w:t>
      </w:r>
      <w:r>
        <w:rPr>
          <w:rFonts w:hint="eastAsia"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/>
          <w:color w:val="000000"/>
          <w:sz w:val="32"/>
          <w:szCs w:val="32"/>
        </w:rPr>
        <w:t>项目总用地面积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（七）单位面积土地工业总产值：</w:t>
      </w:r>
      <w:r>
        <w:rPr>
          <w:rFonts w:ascii="仿宋_GB2312" w:eastAsia="仿宋_GB2312"/>
          <w:color w:val="000000"/>
          <w:sz w:val="32"/>
          <w:szCs w:val="32"/>
        </w:rPr>
        <w:t>项目用地范围内单位面积</w:t>
      </w:r>
      <w:r>
        <w:rPr>
          <w:rFonts w:hint="eastAsia" w:ascii="仿宋_GB2312" w:eastAsia="仿宋_GB2312"/>
          <w:color w:val="000000"/>
          <w:sz w:val="32"/>
          <w:szCs w:val="32"/>
        </w:rPr>
        <w:t>实现的年工业总产值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计算公式：单位面积土地工业总产值=项目完全达产后年工业总产值/项目总用地面积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（八）单位面积土地税收：</w:t>
      </w:r>
      <w:r>
        <w:rPr>
          <w:rFonts w:ascii="仿宋_GB2312" w:eastAsia="仿宋_GB2312"/>
          <w:color w:val="000000"/>
          <w:sz w:val="32"/>
          <w:szCs w:val="32"/>
        </w:rPr>
        <w:t>项目用地范围内单位面积</w:t>
      </w:r>
      <w:r>
        <w:rPr>
          <w:rFonts w:hint="eastAsia" w:ascii="仿宋_GB2312" w:eastAsia="仿宋_GB2312"/>
          <w:color w:val="000000"/>
          <w:sz w:val="32"/>
          <w:szCs w:val="32"/>
        </w:rPr>
        <w:t>实现的年税收收入。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计算公式：单位面积土地税收=项目完全达产后年缴纳的各类税收／项目总用地面积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（九）单位面积土地就业：每亩土地创造劳动力就业岗位的贡献情况。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计算公式：单位面积土地就业＝项目劳动力就业总人数／项目总用地面积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二、名词解释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（一）电子信息产业：主要指电子及通讯设备制造业。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（二）交通运输设备制造业：主要指汽车零部件制造业及航空航天相关设备制造业。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（三）机电产业：主要指普通机械制造业、电气机械及器件制造业、仪器仪表及文化办公用品机械制造业、专用设备机械制造业、金属制品业。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（四）生物工程和医药产业：主要指医药制造业、医疗仪器设备及器械制造业。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（五）都市产业：主要指食品业、服装纺织业、包装业、家具制造业、文教体育及旅游用品制造业、家电和电力器具制造业、照明器具制造业等。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（六）基础和新材料产业：主要指高性能金属材料、稀土功能材料、</w:t>
      </w:r>
      <w:r>
        <w:rPr>
          <w:rFonts w:ascii="仿宋_GB2312" w:eastAsia="仿宋_GB2312"/>
          <w:color w:val="000000"/>
          <w:sz w:val="32"/>
          <w:szCs w:val="32"/>
        </w:rPr>
        <w:t>电子信息</w:t>
      </w:r>
      <w:r>
        <w:rPr>
          <w:rFonts w:hint="eastAsia" w:ascii="仿宋_GB2312" w:eastAsia="仿宋_GB2312"/>
          <w:color w:val="000000"/>
          <w:sz w:val="32"/>
          <w:szCs w:val="32"/>
        </w:rPr>
        <w:t>材料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纳米材料、智能材料、</w:t>
      </w:r>
      <w:r>
        <w:rPr>
          <w:rFonts w:ascii="仿宋_GB2312" w:eastAsia="仿宋_GB2312"/>
          <w:color w:val="000000"/>
          <w:sz w:val="32"/>
          <w:szCs w:val="32"/>
        </w:rPr>
        <w:t>新能源材料、复合材料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新型结构材料及其相关产品和技术装备</w:t>
      </w:r>
      <w:r>
        <w:rPr>
          <w:rFonts w:hint="eastAsia" w:ascii="仿宋_GB2312" w:eastAsia="仿宋_GB2312"/>
          <w:color w:val="000000"/>
          <w:sz w:val="32"/>
          <w:szCs w:val="32"/>
        </w:rPr>
        <w:t>制造业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r>
        <w:rPr>
          <w:rFonts w:hint="eastAsia" w:ascii="仿宋_GB2312" w:eastAsia="仿宋_GB2312"/>
          <w:color w:val="000000"/>
          <w:sz w:val="32"/>
          <w:szCs w:val="32"/>
        </w:rPr>
        <w:t>（七）新能源和环保设备制造业：主要指对可再生能源加以开发利用所形成的装备制造业、对传统能源进行技术变革所形成的蓄电池和半导体照明（LED）等产业，以及环保装备制造业、洁净产品及节能设备制造业、环保服务相关产品制造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80405"/>
    <w:rsid w:val="07C804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2017-01-19T08:31:00Z</dcterms:created>
  <dc:creator>banruo</dc:creator>
  <cp:lastModifiedBy>banruo</cp:lastModifiedBy>
  <dcterms:modified xsi:type="dcterms:W3CDTF">2017-01-19T08:31:31Z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