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/>
          <w:spacing w:val="4"/>
        </w:rPr>
      </w:pPr>
      <w:r>
        <w:rPr>
          <w:rFonts w:hint="eastAsia" w:ascii="黑体" w:hAnsi="黑体" w:eastAsia="黑体" w:cs="宋体"/>
          <w:bCs/>
        </w:rPr>
        <w:t>附件</w:t>
      </w:r>
      <w:r>
        <w:rPr>
          <w:rFonts w:hint="eastAsia" w:ascii="黑体" w:hAnsi="黑体" w:eastAsia="黑体" w:cs="宋体"/>
          <w:bCs/>
          <w:lang w:val="en-US" w:eastAsia="zh-CN"/>
        </w:rPr>
        <w:t>2</w:t>
      </w:r>
      <w:bookmarkStart w:id="0" w:name="_GoBack"/>
      <w:bookmarkEnd w:id="0"/>
      <w:r>
        <w:rPr>
          <w:rFonts w:hint="eastAsia"/>
          <w:spacing w:val="4"/>
        </w:rPr>
        <w:t xml:space="preserve">  </w:t>
      </w:r>
    </w:p>
    <w:p>
      <w:pPr>
        <w:spacing w:line="520" w:lineRule="exact"/>
        <w:rPr>
          <w:rFonts w:hint="eastAsia" w:ascii="方正小标宋_GBK" w:hAnsi="仿宋" w:eastAsia="方正小标宋_GBK" w:cs="宋体"/>
          <w:bCs/>
          <w:sz w:val="44"/>
          <w:szCs w:val="44"/>
        </w:rPr>
      </w:pPr>
    </w:p>
    <w:p>
      <w:pPr>
        <w:widowControl/>
        <w:spacing w:line="520" w:lineRule="exact"/>
        <w:jc w:val="center"/>
        <w:rPr>
          <w:rFonts w:ascii="方正小标宋简体" w:hAnsi="宋体" w:eastAsia="方正小标宋简体" w:cs="宋体"/>
          <w:sz w:val="40"/>
          <w:szCs w:val="40"/>
        </w:rPr>
      </w:pPr>
      <w:r>
        <w:rPr>
          <w:rFonts w:hint="eastAsia" w:ascii="方正小标宋简体" w:hAnsi="宋体" w:eastAsia="方正小标宋简体" w:cs="宋体"/>
          <w:sz w:val="40"/>
          <w:szCs w:val="40"/>
        </w:rPr>
        <w:t>密云县25度以上坡地调查表</w:t>
      </w:r>
    </w:p>
    <w:p>
      <w:pPr>
        <w:spacing w:line="520" w:lineRule="exact"/>
        <w:ind w:firstLine="640" w:firstLineChars="200"/>
        <w:rPr>
          <w:rFonts w:hint="eastAsia"/>
          <w:spacing w:val="4"/>
        </w:rPr>
      </w:pPr>
    </w:p>
    <w:tbl>
      <w:tblPr>
        <w:tblStyle w:val="3"/>
        <w:tblW w:w="91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591"/>
        <w:gridCol w:w="1330"/>
        <w:gridCol w:w="1598"/>
        <w:gridCol w:w="2769"/>
        <w:gridCol w:w="10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59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sz w:val="22"/>
                <w:szCs w:val="22"/>
              </w:rPr>
              <w:t>镇名</w:t>
            </w: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sz w:val="22"/>
                <w:szCs w:val="22"/>
              </w:rPr>
              <w:t>荒地(亩)</w:t>
            </w:r>
          </w:p>
        </w:tc>
        <w:tc>
          <w:tcPr>
            <w:tcW w:w="159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sz w:val="22"/>
                <w:szCs w:val="22"/>
              </w:rPr>
              <w:t>坡耕地(亩)</w:t>
            </w:r>
          </w:p>
        </w:tc>
        <w:tc>
          <w:tcPr>
            <w:tcW w:w="276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sz w:val="22"/>
                <w:szCs w:val="22"/>
              </w:rPr>
              <w:t>无水保措施经济林(亩)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太师屯镇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0 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9770 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40960 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新城子镇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0 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9671 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8100 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北庄镇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2345 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3190 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20141 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西田各庄镇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0 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0 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14871 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溪翁庄镇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0 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0 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15800 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6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东邵渠镇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350 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800 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1050 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7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大城子镇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1180 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2335 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4810 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8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巨各庄镇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0 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450 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19500 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9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穆家峪镇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16083 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7000 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8000 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河南寨镇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5331 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0 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9173 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11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古北口镇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970 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2310 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4890 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12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高岭镇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3160 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15249 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10890 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不老屯镇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9210 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4550 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66181 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14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冯家峪镇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4300 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0 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16400 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15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石城镇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0 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0 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0 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sz w:val="20"/>
              </w:rPr>
            </w:pPr>
            <w:r>
              <w:rPr>
                <w:rFonts w:hint="eastAsia" w:hAnsi="宋体" w:cs="宋体"/>
                <w:b/>
                <w:bCs/>
                <w:sz w:val="20"/>
              </w:rPr>
              <w:t>总计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42929 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55325 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240766 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备注：水保措施包括梯田、水平条、树盘、鱼鳞坑等措施。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A1A43"/>
    <w:rsid w:val="4DEA1A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jc w:val="both"/>
    </w:pPr>
    <w:rPr>
      <w:color w:val="000000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2017-01-22T03:20:00Z</dcterms:created>
  <dc:creator>Mmf99</dc:creator>
  <cp:lastModifiedBy>Mmf99</cp:lastModifiedBy>
  <dcterms:modified xsi:type="dcterms:W3CDTF">2017-01-22T03:21:49Z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