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outlineLvl w:val="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60" w:lineRule="exact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color w:val="FFFFFF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密云县招商引资实体项目准入评分标准</w:t>
      </w:r>
    </w:p>
    <w:tbl>
      <w:tblPr>
        <w:tblStyle w:val="4"/>
        <w:tblpPr w:leftFromText="180" w:rightFromText="180" w:vertAnchor="page" w:horzAnchor="margin" w:tblpY="2026"/>
        <w:tblW w:w="10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44"/>
        <w:gridCol w:w="1914"/>
        <w:gridCol w:w="722"/>
        <w:gridCol w:w="5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94" w:leftChars="-14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分项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产业方向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产业方向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属于密云县重点鼓励发展的行业10分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投资主体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企业资产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资产总额在50亿元以上的6分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资产总额在10-50亿元的4分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资产总额在1-10亿元的2分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项目关联度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拟投项目是公司主营业务的4分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非主营业务但具有投资经验的2分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项目规划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规划设计方案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项目规划设计方案符合镇域空间布局和土地利用规划要求的5分；需要对镇域规划进行适当调整后可实施的2分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投资规模</w:t>
            </w:r>
            <w:r>
              <w:rPr>
                <w:rFonts w:hint="eastAsia" w:ascii="宋体" w:hAnsi="宋体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投资10亿元以上的5分 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投资5-10亿元的3分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投资1-5亿元的1分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投资强度</w:t>
            </w:r>
            <w:r>
              <w:rPr>
                <w:rFonts w:hint="eastAsia" w:ascii="宋体" w:hAnsi="宋体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根据不同行业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投资强度“高”的10分</w:t>
            </w:r>
          </w:p>
          <w:p>
            <w:pPr>
              <w:widowControl/>
              <w:ind w:firstLine="220" w:firstLineChars="1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投资强度“较高”的8分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投资强度“一般”的5分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能耗标准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5分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产值能耗、水耗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工业产值能耗、水耗低于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《北京工业能耗水耗指导指标》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的5分，等于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《北京工业能耗水耗指导指标》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的3分；其它行业产值能耗、水耗低于全市平均水平的5分，等于全市平均水平的3分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经济效益</w:t>
            </w:r>
            <w:r>
              <w:rPr>
                <w:rFonts w:hint="eastAsia" w:ascii="宋体" w:hAnsi="宋体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税收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（根据不同行业）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缴纳税收“高”的15分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缴纳税收“较高”的10分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缴纳税收“一般”的8分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产值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（根据不同行业）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实现产值“高”的10分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实现产值“较高”的8分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实现产值“一般”的4分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提供就业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安置本县劳动力占用工总数80%以上的为10分</w:t>
            </w:r>
          </w:p>
          <w:p>
            <w:pPr>
              <w:widowControl/>
              <w:ind w:firstLine="220" w:firstLineChars="1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安置本县劳动力占用工总数50-80%的为8分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安置本县劳动力占用工总数50%以下的为5分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科技含量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10分</w:t>
            </w:r>
          </w:p>
        </w:tc>
        <w:tc>
          <w:tcPr>
            <w:tcW w:w="1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先进程度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高新技术企业10分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项目具有自主知识产权或自主创新产品的5分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社会影响力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社会影响力高，能够提升密云知名度的5分，否则不得分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镇街发展需求5分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5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符合镇街发展需求、有利于地方资源的开发和利用5分（听取镇街意见后决定分值）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一票否决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1.不符合环保要求的项目。2.法律法规禁止和《北京市新增产业的禁止和限制目录（2014版）》所列行业项目。3.工业企业产值能耗、水耗高于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《北京工业能耗水耗指导指标》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，其它行业产值能耗、水耗高于全市平均水平的项目。</w:t>
            </w:r>
          </w:p>
          <w:p>
            <w:pPr>
              <w:widowControl/>
              <w:spacing w:line="260" w:lineRule="exact"/>
              <w:ind w:left="3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  <w:sectPr>
          <w:pgSz w:w="11906" w:h="16838"/>
          <w:pgMar w:top="907" w:right="1021" w:bottom="907" w:left="1021" w:header="851" w:footer="1440" w:gutter="0"/>
          <w:pgNumType w:fmt="numberInDash"/>
          <w:cols w:space="720" w:num="1"/>
          <w:docGrid w:type="lines" w:linePitch="312" w:charSpace="0"/>
        </w:sectPr>
      </w:pPr>
    </w:p>
    <w:p>
      <w:pPr>
        <w:spacing w:line="540" w:lineRule="exact"/>
        <w:ind w:firstLine="72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ind w:firstLine="88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密云县招商引资实体项目分行业、分指标评分标准</w:t>
      </w:r>
    </w:p>
    <w:tbl>
      <w:tblPr>
        <w:tblStyle w:val="4"/>
        <w:tblpPr w:leftFromText="180" w:rightFromText="180" w:vertAnchor="text" w:horzAnchor="margin" w:tblpXSpec="center" w:tblpY="436"/>
        <w:tblW w:w="13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202"/>
        <w:gridCol w:w="1134"/>
        <w:gridCol w:w="1134"/>
        <w:gridCol w:w="1134"/>
        <w:gridCol w:w="1276"/>
        <w:gridCol w:w="1094"/>
        <w:gridCol w:w="1316"/>
        <w:gridCol w:w="147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83" w:type="dxa"/>
            <w:vMerge w:val="restart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89355" cy="879475"/>
                      <wp:effectExtent l="2540" t="4445" r="12065" b="15240"/>
                      <wp:wrapNone/>
                      <wp:docPr id="9" name="__TH_G32五号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355" cy="879475"/>
                                <a:chOff x="0" y="0"/>
                                <a:chExt cx="1873" cy="1385"/>
                              </a:xfrm>
                            </wpg:grpSpPr>
                            <wps:wsp>
                              <wps:cNvPr id="1" name="__TH_L132"/>
                              <wps:cNvSpPr/>
                              <wps:spPr>
                                <a:xfrm>
                                  <a:off x="0" y="0"/>
                                  <a:ext cx="1873" cy="693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133"/>
                              <wps:cNvSpPr/>
                              <wps:spPr>
                                <a:xfrm>
                                  <a:off x="0" y="0"/>
                                  <a:ext cx="1873" cy="138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__TH_B11134"/>
                              <wps:cNvSpPr txBox="1"/>
                              <wps:spPr>
                                <a:xfrm>
                                  <a:off x="831" y="22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行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__TH_B12135"/>
                              <wps:cNvSpPr txBox="1"/>
                              <wps:spPr>
                                <a:xfrm>
                                  <a:off x="1357" y="12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业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__TH_B21136"/>
                              <wps:cNvSpPr txBox="1"/>
                              <wps:spPr>
                                <a:xfrm>
                                  <a:off x="889" y="403"/>
                                  <a:ext cx="200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强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" name="__TH_B22137"/>
                              <wps:cNvSpPr txBox="1"/>
                              <wps:spPr>
                                <a:xfrm>
                                  <a:off x="1399" y="700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度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" name="__TH_B31138"/>
                              <wps:cNvSpPr txBox="1"/>
                              <wps:spPr>
                                <a:xfrm>
                                  <a:off x="371" y="735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指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" name="__TH_B32139"/>
                              <wps:cNvSpPr txBox="1"/>
                              <wps:spPr>
                                <a:xfrm>
                                  <a:off x="1102" y="100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sz w:val="24"/>
                                      </w:rPr>
                                      <w:t>标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195" o:spid="_x0000_s1026" o:spt="203" style="position:absolute;left:0pt;margin-left:-5.15pt;margin-top:0pt;height:69.25pt;width:93.65pt;z-index:251658240;mso-width-relative:page;mso-height-relative:page;" coordsize="1873,1385" o:gfxdata="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sJoJV1wAAAAgBAAAPAAAAAAAAAAEAIAAAACIA&#10;AABkcnMvZG93bnJldi54bWxQSwECFAAUAAAACACHTuJAs+yYBGADAACxEAAADgAAAAAAAAABACAA&#10;AAAmAQAAZHJzL2Uyb0RvYy54bWxQSwUGAAAAAAYABgBZAQAA+AYAAAAA&#10;">
                      <o:lock v:ext="edit" grouping="f" rotation="f" text="f" aspectratio="f"/>
                      <v:line id="__TH_L132" o:spid="_x0000_s1026" o:spt="20" style="position:absolute;left:0;top:0;height:693;width:1873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33" o:spid="_x0000_s1026" o:spt="20" style="position:absolute;left:0;top:0;height:1385;width:1873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4" o:spid="_x0000_s1026" o:spt="202" type="#_x0000_t202" style="position:absolute;left:831;top:22;height:263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行</w:t>
                              </w:r>
                            </w:p>
                          </w:txbxContent>
                        </v:textbox>
                      </v:shape>
                      <v:shape id="__TH_B12135" o:spid="_x0000_s1026" o:spt="202" type="#_x0000_t202" style="position:absolute;left:1357;top:120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业</w:t>
                              </w:r>
                            </w:p>
                          </w:txbxContent>
                        </v:textbox>
                      </v:shape>
                      <v:shape id="__TH_B21136" o:spid="_x0000_s1026" o:spt="202" type="#_x0000_t202" style="position:absolute;left:889;top:403;height:262;width:2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强</w:t>
                              </w:r>
                            </w:p>
                          </w:txbxContent>
                        </v:textbox>
                      </v:shape>
                      <v:shape id="__TH_B22137" o:spid="_x0000_s1026" o:spt="202" type="#_x0000_t202" style="position:absolute;left:1399;top:700;height:263;width:2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度</w:t>
                              </w:r>
                            </w:p>
                          </w:txbxContent>
                        </v:textbox>
                      </v:shape>
                      <v:shape id="__TH_B31138" o:spid="_x0000_s1026" o:spt="202" type="#_x0000_t202" style="position:absolute;left:371;top:735;height:263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指</w:t>
                              </w:r>
                            </w:p>
                          </w:txbxContent>
                        </v:textbox>
                      </v:shape>
                      <v:shape id="__TH_B32139" o:spid="_x0000_s1026" o:spt="202" type="#_x0000_t202" style="position:absolute;left:1102;top:1006;height:262;width:25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7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工业项目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旅游项目</w:t>
            </w:r>
          </w:p>
        </w:tc>
        <w:tc>
          <w:tcPr>
            <w:tcW w:w="4151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商业项目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83" w:type="dxa"/>
            <w:vMerge w:val="continue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高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较高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一般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高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较高</w:t>
            </w: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一般</w:t>
            </w:r>
          </w:p>
        </w:tc>
        <w:tc>
          <w:tcPr>
            <w:tcW w:w="131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高</w:t>
            </w:r>
          </w:p>
        </w:tc>
        <w:tc>
          <w:tcPr>
            <w:tcW w:w="14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较高</w:t>
            </w:r>
          </w:p>
        </w:tc>
        <w:tc>
          <w:tcPr>
            <w:tcW w:w="135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投资规模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万元以上</w:t>
            </w:r>
          </w:p>
        </w:tc>
        <w:tc>
          <w:tcPr>
            <w:tcW w:w="14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投资强度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400-600万元/亩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万元/亩以下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万元/亩以上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30-80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</w:t>
            </w: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元/平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方米以上</w:t>
            </w:r>
          </w:p>
        </w:tc>
        <w:tc>
          <w:tcPr>
            <w:tcW w:w="14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1000-3000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元/平方米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元/平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方米以下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税收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85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65-85万元/亩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万元/亩以下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万元/年以上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500-1500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</w:t>
            </w:r>
          </w:p>
        </w:tc>
        <w:tc>
          <w:tcPr>
            <w:tcW w:w="14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300-1000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产值</w:t>
            </w:r>
          </w:p>
        </w:tc>
        <w:tc>
          <w:tcPr>
            <w:tcW w:w="12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万元/亩以上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1200-1800万元/亩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万元/亩以下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万元/年以上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0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</w:t>
            </w:r>
          </w:p>
        </w:tc>
        <w:tc>
          <w:tcPr>
            <w:tcW w:w="14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10000-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10000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</w:tr>
    </w:tbl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adjustRightInd w:val="0"/>
        <w:snapToGrid w:val="0"/>
        <w:spacing w:line="300" w:lineRule="exact"/>
        <w:ind w:left="1635" w:leftChars="550" w:hanging="480" w:hangingChars="2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说明：1.综合测评以百分制为标准，综合测评60分以下的项目，原则上不予准入；60-75 分的项目，需要设定条件，满足条</w:t>
      </w:r>
    </w:p>
    <w:p>
      <w:pPr>
        <w:adjustRightInd w:val="0"/>
        <w:snapToGrid w:val="0"/>
        <w:spacing w:line="300" w:lineRule="exact"/>
        <w:ind w:left="1575" w:leftChars="750"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件后引进；75分以上的项目，集中力量积极引进。2.数值基数“××以上”的含本基数；“××以下”的不含本基数。</w:t>
      </w:r>
    </w:p>
    <w:p>
      <w:pPr>
        <w:numPr>
          <w:ilvl w:val="0"/>
          <w:numId w:val="1"/>
        </w:numPr>
        <w:adjustRightInd w:val="0"/>
        <w:snapToGrid w:val="0"/>
        <w:spacing w:line="300" w:lineRule="exact"/>
        <w:ind w:left="1575" w:leftChars="750" w:firstLine="240" w:firstLineChars="1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指标中带“*”的评分标准详见“密云县招商引资实体项目分行业、分指标评分标准”。4.</w:t>
      </w:r>
      <w:r>
        <w:rPr>
          <w:rFonts w:hint="eastAsia" w:ascii="仿宋_GB2312" w:hAnsi="仿宋_GB2312" w:eastAsia="仿宋_GB2312" w:cs="仿宋_GB2312"/>
          <w:sz w:val="24"/>
        </w:rPr>
        <w:t>各类产业项目评分标准原</w:t>
      </w:r>
    </w:p>
    <w:p>
      <w:pPr>
        <w:adjustRightInd w:val="0"/>
        <w:snapToGrid w:val="0"/>
        <w:spacing w:line="300" w:lineRule="exact"/>
        <w:ind w:left="1785" w:leftChars="85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则上每三年调整一次，遇国家政策有重大变化时，视情况及时调整。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021" w:right="680" w:bottom="1021" w:left="68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line="440" w:lineRule="exact"/>
        <w:rPr>
          <w:rFonts w:hint="eastAsia" w:ascii="仿宋" w:hAnsi="仿宋" w:eastAsia="仿宋" w:cs="方正小标宋简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BookMaker1DlFont10+ZHYGrh-2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2B7E"/>
    <w:multiLevelType w:val="singleLevel"/>
    <w:tmpl w:val="54F52B7E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62A7"/>
    <w:rsid w:val="5B1962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2017-01-16T10:54:00Z</dcterms:created>
  <dc:creator>Mmf99</dc:creator>
  <cp:lastModifiedBy>Mmf99</cp:lastModifiedBy>
  <dcterms:modified xsi:type="dcterms:W3CDTF">2017-01-16T10:54:18Z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