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/>
        <w:rPr>
          <w:rFonts w:hint="eastAsia" w:ascii="黑体" w:hAnsi="黑体" w:eastAsia="黑体" w:cs="Arial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</w:rPr>
        <w:t>附件</w:t>
      </w:r>
    </w:p>
    <w:p>
      <w:pPr>
        <w:widowControl/>
        <w:spacing w:before="100" w:beforeLines="0" w:beforeAutospacing="1" w:after="100" w:afterLines="0" w:afterAutospacing="1" w:line="500" w:lineRule="exact"/>
        <w:jc w:val="center"/>
        <w:rPr>
          <w:rFonts w:hint="eastAsia" w:ascii="方正小标宋_GBK" w:hAnsi="Arial" w:eastAsia="方正小标宋_GBK" w:cs="Arial"/>
          <w:color w:val="auto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auto"/>
          <w:kern w:val="0"/>
          <w:sz w:val="44"/>
          <w:szCs w:val="44"/>
        </w:rPr>
        <w:t>怀柔区安全生产标准化企业划分标准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Arial" w:eastAsia="方正小标宋_GBK" w:cs="Arial"/>
          <w:color w:val="auto"/>
          <w:kern w:val="0"/>
          <w:sz w:val="44"/>
          <w:szCs w:val="44"/>
        </w:rPr>
      </w:pPr>
    </w:p>
    <w:tbl>
      <w:tblPr>
        <w:tblStyle w:val="3"/>
        <w:tblW w:w="9685" w:type="dxa"/>
        <w:jc w:val="center"/>
        <w:tblInd w:w="-6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590"/>
        <w:gridCol w:w="735"/>
        <w:gridCol w:w="2445"/>
        <w:gridCol w:w="2460"/>
        <w:gridCol w:w="1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行业名称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指标名称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计量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规模以上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规模以下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小微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农、林、牧、渔业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50≤Y＜500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工业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*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年主营业务收入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2000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年主营业务收入＜2000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建筑业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资产总额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(Z)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6000≤Y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5000≤Z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300≤Y＜6000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300≤Z＜5000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Z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零售业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建筑面积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1000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平米或地下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500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建筑面积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平米或地下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交通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运输业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*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3000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X＜300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Y＜3000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住宿业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星级饭店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非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星级饭店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餐饮业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营业收入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建筑面积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500平米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建筑面积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＜500平米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Y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物业管理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从业人员(X)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营业收入(Y)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万元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X≥</w:t>
            </w:r>
            <w:r>
              <w:rPr>
                <w:rFonts w:hint="eastAsia" w:ascii="仿宋_GB2312" w:eastAsia="仿宋_GB2312"/>
                <w:color w:val="auto"/>
                <w:sz w:val="24"/>
              </w:rPr>
              <w:tab/>
            </w:r>
            <w:r>
              <w:rPr>
                <w:rFonts w:hint="eastAsia" w:ascii="仿宋_GB2312" w:eastAsia="仿宋_GB2312"/>
                <w:color w:val="auto"/>
                <w:sz w:val="24"/>
              </w:rPr>
              <w:t>300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Y≥1000</w:t>
            </w:r>
          </w:p>
        </w:tc>
        <w:tc>
          <w:tcPr>
            <w:tcW w:w="24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100≤X＜300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500≤Y＜1000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X＜100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Y＜500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其他未列明行业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*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(X)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X≥100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10≤X＜100</w:t>
            </w:r>
          </w:p>
        </w:tc>
        <w:tc>
          <w:tcPr>
            <w:tcW w:w="1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＜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10</w:t>
            </w:r>
          </w:p>
        </w:tc>
      </w:tr>
    </w:tbl>
    <w:p>
      <w:pPr>
        <w:spacing w:line="300" w:lineRule="exact"/>
        <w:rPr>
          <w:rFonts w:hint="eastAsia" w:ascii="仿宋_GB2312" w:hAnsi="Arial" w:eastAsia="仿宋_GB2312" w:cs="Arial"/>
          <w:color w:val="auto"/>
          <w:kern w:val="0"/>
          <w:sz w:val="24"/>
        </w:rPr>
      </w:pPr>
    </w:p>
    <w:p>
      <w:pPr>
        <w:spacing w:line="300" w:lineRule="exact"/>
        <w:jc w:val="both"/>
        <w:rPr>
          <w:rFonts w:hint="eastAsia" w:ascii="仿宋_GB2312" w:hAnsi="Arial" w:eastAsia="仿宋_GB2312" w:cs="Arial"/>
          <w:color w:val="auto"/>
          <w:kern w:val="0"/>
          <w:sz w:val="24"/>
        </w:rPr>
      </w:pPr>
      <w:r>
        <w:rPr>
          <w:rFonts w:hint="eastAsia" w:ascii="仿宋_GB2312" w:hAnsi="Arial" w:eastAsia="仿宋_GB2312" w:cs="Arial"/>
          <w:color w:val="auto"/>
          <w:kern w:val="0"/>
          <w:sz w:val="24"/>
        </w:rPr>
        <w:t>说明：</w:t>
      </w:r>
    </w:p>
    <w:p>
      <w:pPr>
        <w:spacing w:line="300" w:lineRule="exact"/>
        <w:jc w:val="both"/>
        <w:rPr>
          <w:rFonts w:hint="eastAsia" w:ascii="仿宋_GB2312" w:hAnsi="Arial" w:eastAsia="仿宋_GB2312" w:cs="Arial"/>
          <w:color w:val="auto"/>
          <w:kern w:val="0"/>
          <w:sz w:val="24"/>
        </w:rPr>
      </w:pPr>
      <w:r>
        <w:rPr>
          <w:rFonts w:hint="eastAsia" w:ascii="仿宋_GB2312" w:hAnsi="Arial" w:eastAsia="仿宋_GB2312" w:cs="Arial"/>
          <w:color w:val="auto"/>
          <w:kern w:val="0"/>
          <w:sz w:val="24"/>
        </w:rPr>
        <w:t xml:space="preserve">1.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规模以上和规模以下</w:t>
      </w:r>
      <w:r>
        <w:rPr>
          <w:rFonts w:hint="eastAsia" w:ascii="仿宋_GB2312" w:hAnsi="Arial" w:eastAsia="仿宋_GB2312" w:cs="Arial"/>
          <w:color w:val="auto"/>
          <w:kern w:val="0"/>
          <w:sz w:val="24"/>
        </w:rPr>
        <w:t>企业须同时满足所列指标的下限，否则下划一档；小微企业</w:t>
      </w:r>
      <w:r>
        <w:rPr>
          <w:rFonts w:hint="eastAsia" w:ascii="仿宋_GB2312" w:hAnsi="Arial" w:eastAsia="仿宋_GB2312" w:cs="Arial"/>
          <w:color w:val="auto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auto"/>
          <w:kern w:val="0"/>
          <w:sz w:val="24"/>
        </w:rPr>
        <w:t>只须满足所列指标中的一项即可。</w:t>
      </w:r>
    </w:p>
    <w:p>
      <w:pPr>
        <w:spacing w:line="280" w:lineRule="exact"/>
        <w:jc w:val="both"/>
        <w:rPr>
          <w:rFonts w:hint="eastAsia" w:ascii="仿宋_GB2312" w:hAnsi="Arial" w:eastAsia="仿宋_GB2312" w:cs="Arial"/>
          <w:color w:val="auto"/>
          <w:kern w:val="0"/>
          <w:sz w:val="24"/>
        </w:rPr>
      </w:pPr>
      <w:r>
        <w:rPr>
          <w:rFonts w:hint="eastAsia" w:ascii="仿宋_GB2312" w:hAnsi="Arial" w:eastAsia="仿宋_GB2312" w:cs="Arial"/>
          <w:color w:val="auto"/>
          <w:kern w:val="0"/>
          <w:sz w:val="24"/>
        </w:rPr>
        <w:t>2. 附表中各行业的范围以《国民经济行业分类》（GB/T4754-2011）为准。带*的项为行业组合类别，其中，工业包括采矿业，制造业，电力、热力、燃气及水生产和供应业；交通运输业包括道路运输业，水上运输业，航空运输业，管道运输业，装卸搬运和运输代理业，不包括铁路运输业；其他未列明行业包括水利、环境和公共设施管理业，文化、体育和娱乐业，居民服务、修理和其他服务业等。</w:t>
      </w:r>
    </w:p>
    <w:p>
      <w:pPr>
        <w:spacing w:line="280" w:lineRule="exact"/>
        <w:jc w:val="both"/>
        <w:rPr>
          <w:rFonts w:hint="eastAsia" w:ascii="仿宋_GB2312" w:hAnsi="Arial" w:eastAsia="仿宋_GB2312" w:cs="Arial"/>
          <w:color w:val="auto"/>
          <w:kern w:val="0"/>
          <w:sz w:val="24"/>
        </w:rPr>
      </w:pPr>
      <w:r>
        <w:rPr>
          <w:rFonts w:hint="eastAsia" w:ascii="仿宋_GB2312" w:hAnsi="Arial" w:eastAsia="仿宋_GB2312" w:cs="Arial"/>
          <w:color w:val="auto"/>
          <w:kern w:val="0"/>
          <w:sz w:val="24"/>
        </w:rPr>
        <w:t>3. 企业划分指标以现行统计制度为准。从业人员是指期末从业人员数，没有期末从业人员数的，采用全年平均人员数代替。资产总额采用资产总计代替。</w:t>
      </w:r>
    </w:p>
    <w:p>
      <w:pPr>
        <w:spacing w:line="280" w:lineRule="exact"/>
        <w:jc w:val="both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kern w:val="0"/>
          <w:sz w:val="24"/>
        </w:rPr>
        <w:t>4.此标准只适用于</w:t>
      </w:r>
      <w:r>
        <w:rPr>
          <w:rFonts w:hint="eastAsia" w:ascii="仿宋_GB2312" w:hAnsi="Arial" w:eastAsia="仿宋_GB2312" w:cs="Arial"/>
          <w:color w:val="auto"/>
          <w:kern w:val="0"/>
          <w:sz w:val="24"/>
          <w:lang w:eastAsia="zh-CN"/>
        </w:rPr>
        <w:t>本</w:t>
      </w:r>
      <w:r>
        <w:rPr>
          <w:rFonts w:hint="eastAsia" w:ascii="仿宋_GB2312" w:hAnsi="Arial" w:eastAsia="仿宋_GB2312" w:cs="Arial"/>
          <w:color w:val="auto"/>
          <w:kern w:val="0"/>
          <w:sz w:val="24"/>
        </w:rPr>
        <w:t>区开展安全生产标准化企业类型的划分。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5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5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5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1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56" w:lineRule="exact"/>
        <w:ind w:left="0" w:leftChars="0" w:right="1367" w:rightChars="651" w:firstLine="640" w:firstLineChars="200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1773"/>
    <w:rsid w:val="1CD317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2016-12-26T01:11:00Z</dcterms:created>
  <dc:creator>Mmf99</dc:creator>
  <cp:lastModifiedBy>Mmf99</cp:lastModifiedBy>
  <dcterms:modified xsi:type="dcterms:W3CDTF">2016-12-26T01:12:15Z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