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19" w:rsidRDefault="006B1C19" w:rsidP="006B1C19">
      <w:pPr>
        <w:rPr>
          <w:rFonts w:ascii="仿宋_GB2312" w:eastAsia="仿宋_GB2312" w:hAnsi="Helvetica" w:hint="eastAsia"/>
          <w:color w:val="000000"/>
          <w:sz w:val="32"/>
          <w:szCs w:val="32"/>
        </w:rPr>
      </w:pPr>
      <w:r>
        <w:rPr>
          <w:rFonts w:ascii="仿宋_GB2312" w:eastAsia="仿宋_GB2312" w:hAnsi="Helvetica" w:hint="eastAsia"/>
          <w:color w:val="000000"/>
          <w:sz w:val="32"/>
          <w:szCs w:val="32"/>
        </w:rPr>
        <w:t>附件1：</w:t>
      </w:r>
    </w:p>
    <w:p w:rsidR="006B1C19" w:rsidRDefault="006B1C19" w:rsidP="006B1C19">
      <w:pPr>
        <w:rPr>
          <w:rFonts w:ascii="仿宋_GB2312" w:eastAsia="仿宋_GB2312" w:hAnsi="Helvetica" w:hint="eastAsia"/>
          <w:color w:val="000000"/>
          <w:sz w:val="32"/>
          <w:szCs w:val="32"/>
        </w:rPr>
      </w:pPr>
    </w:p>
    <w:p w:rsidR="006B1C19" w:rsidRDefault="006B1C19" w:rsidP="006B1C19">
      <w:pPr>
        <w:jc w:val="center"/>
        <w:rPr>
          <w:rFonts w:ascii="方正小标宋_GBK" w:eastAsia="方正小标宋_GBK" w:hAnsi="宋体" w:hint="eastAsia"/>
          <w:color w:val="000000"/>
          <w:sz w:val="44"/>
          <w:szCs w:val="36"/>
        </w:rPr>
      </w:pPr>
      <w:r>
        <w:rPr>
          <w:rFonts w:ascii="方正小标宋_GBK" w:eastAsia="方正小标宋_GBK" w:hAnsi="宋体" w:hint="eastAsia"/>
          <w:color w:val="000000"/>
          <w:sz w:val="44"/>
          <w:szCs w:val="36"/>
        </w:rPr>
        <w:t>怀柔区政府投资项目后评价一般性指标体系</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603"/>
        <w:gridCol w:w="3600"/>
        <w:gridCol w:w="5192"/>
      </w:tblGrid>
      <w:tr w:rsidR="006B1C19" w:rsidTr="00760644">
        <w:trPr>
          <w:trHeight w:val="611"/>
        </w:trPr>
        <w:tc>
          <w:tcPr>
            <w:tcW w:w="477" w:type="dxa"/>
            <w:vAlign w:val="center"/>
          </w:tcPr>
          <w:p w:rsidR="006B1C19" w:rsidRDefault="006B1C19" w:rsidP="00760644">
            <w:pPr>
              <w:jc w:val="center"/>
              <w:rPr>
                <w:rFonts w:ascii="宋体" w:hAnsi="宋体" w:hint="eastAsia"/>
                <w:color w:val="000000"/>
                <w:sz w:val="24"/>
              </w:rPr>
            </w:pPr>
            <w:r>
              <w:rPr>
                <w:rFonts w:ascii="宋体" w:hAnsi="宋体" w:hint="eastAsia"/>
                <w:color w:val="000000"/>
                <w:sz w:val="24"/>
              </w:rPr>
              <w:t>序号</w:t>
            </w:r>
          </w:p>
        </w:tc>
        <w:tc>
          <w:tcPr>
            <w:tcW w:w="4203" w:type="dxa"/>
            <w:gridSpan w:val="2"/>
            <w:vAlign w:val="center"/>
          </w:tcPr>
          <w:p w:rsidR="006B1C19" w:rsidRDefault="006B1C19" w:rsidP="00760644">
            <w:pPr>
              <w:jc w:val="center"/>
              <w:rPr>
                <w:rFonts w:ascii="宋体" w:hAnsi="宋体" w:hint="eastAsia"/>
                <w:color w:val="000000"/>
                <w:sz w:val="24"/>
              </w:rPr>
            </w:pPr>
            <w:r>
              <w:rPr>
                <w:rFonts w:ascii="宋体" w:hAnsi="宋体" w:hint="eastAsia"/>
                <w:color w:val="000000"/>
                <w:sz w:val="24"/>
              </w:rPr>
              <w:t>一般性指标名称</w:t>
            </w:r>
          </w:p>
        </w:tc>
        <w:tc>
          <w:tcPr>
            <w:tcW w:w="5192" w:type="dxa"/>
            <w:vAlign w:val="center"/>
          </w:tcPr>
          <w:p w:rsidR="006B1C19" w:rsidRDefault="006B1C19" w:rsidP="00760644">
            <w:pPr>
              <w:jc w:val="center"/>
              <w:rPr>
                <w:rFonts w:ascii="宋体" w:hAnsi="宋体" w:hint="eastAsia"/>
                <w:color w:val="000000"/>
                <w:sz w:val="24"/>
              </w:rPr>
            </w:pPr>
            <w:r>
              <w:rPr>
                <w:rFonts w:ascii="宋体" w:hAnsi="宋体" w:hint="eastAsia"/>
                <w:color w:val="000000"/>
                <w:sz w:val="24"/>
              </w:rPr>
              <w:t>指标简要说明</w:t>
            </w:r>
          </w:p>
        </w:tc>
      </w:tr>
      <w:tr w:rsidR="006B1C19" w:rsidTr="00760644">
        <w:trPr>
          <w:cantSplit/>
          <w:trHeight w:val="1219"/>
        </w:trPr>
        <w:tc>
          <w:tcPr>
            <w:tcW w:w="477"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1</w:t>
            </w:r>
          </w:p>
        </w:tc>
        <w:tc>
          <w:tcPr>
            <w:tcW w:w="603"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审批管理后评价</w:t>
            </w: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（一）项目审批的合规性</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该指标是考核从实际情况来看，当初项目审批的依据、程序和方法是否正确、科学、客观，审批的内容正确与否及其实现程度。</w:t>
            </w:r>
          </w:p>
        </w:tc>
      </w:tr>
      <w:tr w:rsidR="006B1C19" w:rsidTr="00760644">
        <w:trPr>
          <w:cantSplit/>
          <w:trHeight w:val="1076"/>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vAlign w:val="center"/>
          </w:tcPr>
          <w:p w:rsidR="006B1C19" w:rsidRDefault="006B1C19" w:rsidP="00760644">
            <w:pPr>
              <w:jc w:val="cente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（二）项目管理的科学性</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该指标是考核项目实施过程中，各项管理制度的实际执行情况，项目管理是否规范、科学，是否符合政府投资建设项目管理要求。</w:t>
            </w:r>
          </w:p>
        </w:tc>
      </w:tr>
      <w:tr w:rsidR="006B1C19" w:rsidTr="00760644">
        <w:trPr>
          <w:cantSplit/>
          <w:trHeight w:val="925"/>
        </w:trPr>
        <w:tc>
          <w:tcPr>
            <w:tcW w:w="477"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2</w:t>
            </w:r>
          </w:p>
        </w:tc>
        <w:tc>
          <w:tcPr>
            <w:tcW w:w="603" w:type="dxa"/>
            <w:vMerge w:val="restart"/>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实施内容后评价</w:t>
            </w:r>
          </w:p>
        </w:tc>
        <w:tc>
          <w:tcPr>
            <w:tcW w:w="3600" w:type="dxa"/>
            <w:tcBorders>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（一）实施内容完成任务量</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该指标是将考核的实际工作量与项目立项计划应完成的工作量进行对比，考核其实现程度。</w:t>
            </w:r>
          </w:p>
        </w:tc>
      </w:tr>
      <w:tr w:rsidR="006B1C19" w:rsidTr="00760644">
        <w:trPr>
          <w:cantSplit/>
          <w:trHeight w:val="1064"/>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（二）实施内容完成质量</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该指标是根据国家，行业有关质量标准以及项目立项时的质量目标与考核的实际工程质量状况相对比考核其实现程度。</w:t>
            </w:r>
          </w:p>
        </w:tc>
      </w:tr>
      <w:tr w:rsidR="006B1C19" w:rsidTr="00760644">
        <w:trPr>
          <w:cantSplit/>
          <w:trHeight w:val="767"/>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（三）实施内容完成进度</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该指标是将项目实际工作进度与计划进度进行对比，考核其进展程度和及时性。</w:t>
            </w:r>
          </w:p>
        </w:tc>
      </w:tr>
      <w:tr w:rsidR="006B1C19" w:rsidTr="00760644">
        <w:trPr>
          <w:cantSplit/>
          <w:trHeight w:val="619"/>
        </w:trPr>
        <w:tc>
          <w:tcPr>
            <w:tcW w:w="477" w:type="dxa"/>
            <w:vMerge w:val="restart"/>
            <w:tcBorders>
              <w:top w:val="single" w:sz="4" w:space="0" w:color="auto"/>
              <w:left w:val="single" w:sz="4" w:space="0" w:color="auto"/>
            </w:tcBorders>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3</w:t>
            </w:r>
          </w:p>
        </w:tc>
        <w:tc>
          <w:tcPr>
            <w:tcW w:w="603" w:type="dxa"/>
            <w:vMerge w:val="restart"/>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功能</w:t>
            </w:r>
            <w:r>
              <w:rPr>
                <w:rFonts w:ascii="仿宋_GB2312" w:eastAsia="仿宋_GB2312" w:hAnsi="宋体" w:hint="eastAsia"/>
                <w:color w:val="000000"/>
                <w:sz w:val="24"/>
              </w:rPr>
              <w:lastRenderedPageBreak/>
              <w:t>技术后评价</w:t>
            </w:r>
          </w:p>
        </w:tc>
        <w:tc>
          <w:tcPr>
            <w:tcW w:w="3600" w:type="dxa"/>
            <w:tcBorders>
              <w:left w:val="single" w:sz="4" w:space="0" w:color="auto"/>
              <w:bottom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lastRenderedPageBreak/>
              <w:t>（一）项目用途</w:t>
            </w:r>
          </w:p>
        </w:tc>
        <w:tc>
          <w:tcPr>
            <w:tcW w:w="5192" w:type="dxa"/>
            <w:tcBorders>
              <w:bottom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该指标主要是考核项目完成后实用性和功能用途的满足程度。</w:t>
            </w:r>
          </w:p>
        </w:tc>
      </w:tr>
      <w:tr w:rsidR="006B1C19" w:rsidTr="00760644">
        <w:trPr>
          <w:cantSplit/>
          <w:trHeight w:val="733"/>
        </w:trPr>
        <w:tc>
          <w:tcPr>
            <w:tcW w:w="477" w:type="dxa"/>
            <w:vMerge/>
            <w:tcBorders>
              <w:top w:val="nil"/>
              <w:lef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left w:val="single" w:sz="4" w:space="0" w:color="auto"/>
              <w:bottom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（二）项目工艺技术</w:t>
            </w:r>
          </w:p>
        </w:tc>
        <w:tc>
          <w:tcPr>
            <w:tcW w:w="5192" w:type="dxa"/>
            <w:tcBorders>
              <w:bottom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该指标主要是考核项目实际采用的工艺技术流程和技术装备与计划的偏差程度。</w:t>
            </w:r>
          </w:p>
        </w:tc>
      </w:tr>
      <w:tr w:rsidR="006B1C19" w:rsidTr="00760644">
        <w:trPr>
          <w:cantSplit/>
          <w:trHeight w:val="667"/>
        </w:trPr>
        <w:tc>
          <w:tcPr>
            <w:tcW w:w="477" w:type="dxa"/>
            <w:vMerge/>
            <w:tcBorders>
              <w:top w:val="single" w:sz="4" w:space="0" w:color="auto"/>
              <w:lef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top w:val="single" w:sz="4" w:space="0" w:color="auto"/>
              <w:left w:val="single" w:sz="4" w:space="0" w:color="auto"/>
              <w:righ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（三）项目达标（产）</w:t>
            </w:r>
          </w:p>
        </w:tc>
        <w:tc>
          <w:tcPr>
            <w:tcW w:w="5192" w:type="dxa"/>
            <w:tcBorders>
              <w:left w:val="single" w:sz="4" w:space="0" w:color="auto"/>
              <w:bottom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该指标主要考核项目完成后，实际达标（产）能力与计划值的偏差程度。</w:t>
            </w:r>
          </w:p>
        </w:tc>
      </w:tr>
      <w:tr w:rsidR="006B1C19" w:rsidTr="00760644">
        <w:trPr>
          <w:cantSplit/>
          <w:trHeight w:val="880"/>
        </w:trPr>
        <w:tc>
          <w:tcPr>
            <w:tcW w:w="477" w:type="dxa"/>
            <w:vMerge w:val="restart"/>
            <w:tcBorders>
              <w:top w:val="single" w:sz="4" w:space="0" w:color="auto"/>
              <w:left w:val="single" w:sz="4" w:space="0" w:color="auto"/>
            </w:tcBorders>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4</w:t>
            </w:r>
          </w:p>
        </w:tc>
        <w:tc>
          <w:tcPr>
            <w:tcW w:w="603" w:type="dxa"/>
            <w:vMerge w:val="restart"/>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资金管理后评价</w:t>
            </w:r>
          </w:p>
        </w:tc>
        <w:tc>
          <w:tcPr>
            <w:tcW w:w="3600" w:type="dxa"/>
            <w:tcBorders>
              <w:left w:val="single" w:sz="4" w:space="0" w:color="auto"/>
              <w:righ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（一）资金管理的规范性</w:t>
            </w:r>
          </w:p>
        </w:tc>
        <w:tc>
          <w:tcPr>
            <w:tcW w:w="5192" w:type="dxa"/>
            <w:tcBorders>
              <w:top w:val="single" w:sz="4" w:space="0" w:color="auto"/>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该指标主要是考核项目资金管理制度是否健全，执行是否有效，是否符合政府投资资金管理的相关规定，资金违纪率的大小等。</w:t>
            </w:r>
          </w:p>
        </w:tc>
      </w:tr>
      <w:tr w:rsidR="006B1C19" w:rsidTr="00760644">
        <w:trPr>
          <w:cantSplit/>
          <w:trHeight w:val="723"/>
        </w:trPr>
        <w:tc>
          <w:tcPr>
            <w:tcW w:w="477" w:type="dxa"/>
            <w:vMerge/>
            <w:tcBorders>
              <w:lef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left w:val="single" w:sz="4" w:space="0" w:color="auto"/>
              <w:righ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（二）资金的使用效率</w:t>
            </w:r>
          </w:p>
        </w:tc>
        <w:tc>
          <w:tcPr>
            <w:tcW w:w="5192" w:type="dxa"/>
            <w:tcBorders>
              <w:top w:val="single" w:sz="4" w:space="0" w:color="auto"/>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该指标主要是考评政府投资使用效率及资金滞留情况。</w:t>
            </w:r>
          </w:p>
        </w:tc>
      </w:tr>
      <w:tr w:rsidR="006B1C19" w:rsidTr="00760644">
        <w:trPr>
          <w:cantSplit/>
          <w:trHeight w:val="815"/>
        </w:trPr>
        <w:tc>
          <w:tcPr>
            <w:tcW w:w="477" w:type="dxa"/>
            <w:vMerge/>
            <w:tcBorders>
              <w:lef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603" w:type="dxa"/>
            <w:vMerge/>
            <w:tcBorders>
              <w:right w:val="single" w:sz="4" w:space="0" w:color="auto"/>
            </w:tcBorders>
            <w:vAlign w:val="center"/>
          </w:tcPr>
          <w:p w:rsidR="006B1C19" w:rsidRDefault="006B1C19" w:rsidP="00760644">
            <w:pPr>
              <w:jc w:val="center"/>
              <w:rPr>
                <w:rFonts w:ascii="仿宋_GB2312" w:eastAsia="仿宋_GB2312" w:hAnsi="宋体" w:hint="eastAsia"/>
                <w:color w:val="000000"/>
                <w:sz w:val="24"/>
              </w:rPr>
            </w:pPr>
          </w:p>
        </w:tc>
        <w:tc>
          <w:tcPr>
            <w:tcW w:w="3600" w:type="dxa"/>
            <w:tcBorders>
              <w:left w:val="single" w:sz="4" w:space="0" w:color="auto"/>
              <w:righ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（三）配套资金筹措能力</w:t>
            </w:r>
          </w:p>
        </w:tc>
        <w:tc>
          <w:tcPr>
            <w:tcW w:w="5192" w:type="dxa"/>
            <w:tcBorders>
              <w:top w:val="single" w:sz="4" w:space="0" w:color="auto"/>
              <w:left w:val="single" w:sz="4" w:space="0" w:color="auto"/>
            </w:tcBorders>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该指标主要是考核项目单位对政府投资的配套能力、筹措能力及配套资金的到位情况等。</w:t>
            </w:r>
          </w:p>
        </w:tc>
      </w:tr>
      <w:tr w:rsidR="006B1C19" w:rsidTr="00760644">
        <w:trPr>
          <w:cantSplit/>
          <w:trHeight w:val="1080"/>
        </w:trPr>
        <w:tc>
          <w:tcPr>
            <w:tcW w:w="477"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5</w:t>
            </w:r>
          </w:p>
        </w:tc>
        <w:tc>
          <w:tcPr>
            <w:tcW w:w="603"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经济效益后评价</w:t>
            </w: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（一）投入产出效益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该指标是考核成本费用效益的高低，投入产出等经济合理性，并与其立项目标相比较其实现程度。</w:t>
            </w:r>
          </w:p>
        </w:tc>
      </w:tr>
      <w:tr w:rsidR="006B1C19" w:rsidTr="00760644">
        <w:trPr>
          <w:cantSplit/>
          <w:trHeight w:val="1094"/>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（二）直接经济效益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该指标是考核项目实施所产生的直接经济效益，并与立项目标的直接经济效益相比较，考核其实现程度。</w:t>
            </w:r>
          </w:p>
        </w:tc>
      </w:tr>
      <w:tr w:rsidR="006B1C19" w:rsidTr="00760644">
        <w:trPr>
          <w:cantSplit/>
          <w:trHeight w:val="1337"/>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（三）持续经济效益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该指标是考核项目实施后在未来年度里持续性发挥作用产生经济效益的能力，对于一些项目可考核其建成后的使用价值，并与立项目标相比较其未来实现的能力。</w:t>
            </w:r>
          </w:p>
        </w:tc>
      </w:tr>
      <w:tr w:rsidR="006B1C19" w:rsidTr="00760644">
        <w:trPr>
          <w:cantSplit/>
          <w:trHeight w:val="1124"/>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（四）间接经济效益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该指标是考核项目实施所产生的间接经济效益，主要是指投资对经济发展的拉动作用，并与立项目标的间接经济预测相比较，考核其实现程度。</w:t>
            </w:r>
          </w:p>
        </w:tc>
      </w:tr>
      <w:tr w:rsidR="006B1C19" w:rsidTr="00760644">
        <w:trPr>
          <w:cantSplit/>
          <w:trHeight w:val="1224"/>
        </w:trPr>
        <w:tc>
          <w:tcPr>
            <w:tcW w:w="477"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6</w:t>
            </w:r>
          </w:p>
        </w:tc>
        <w:tc>
          <w:tcPr>
            <w:tcW w:w="603" w:type="dxa"/>
            <w:vMerge w:val="restart"/>
            <w:vAlign w:val="center"/>
          </w:tcPr>
          <w:p w:rsidR="006B1C19" w:rsidRDefault="006B1C19" w:rsidP="00760644">
            <w:pPr>
              <w:jc w:val="center"/>
              <w:rPr>
                <w:rFonts w:ascii="仿宋_GB2312" w:eastAsia="仿宋_GB2312" w:hAnsi="宋体" w:hint="eastAsia"/>
                <w:color w:val="000000"/>
                <w:sz w:val="24"/>
              </w:rPr>
            </w:pPr>
            <w:r>
              <w:rPr>
                <w:rFonts w:ascii="仿宋_GB2312" w:eastAsia="仿宋_GB2312" w:hAnsi="宋体" w:hint="eastAsia"/>
                <w:color w:val="000000"/>
                <w:sz w:val="24"/>
              </w:rPr>
              <w:t>公共效益后评价</w:t>
            </w: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（一）社会效益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该指标是考评项目实施所产生的社会综合效益，并与立项计划社会效益目标相对比，考核其实现程度。</w:t>
            </w:r>
          </w:p>
        </w:tc>
      </w:tr>
      <w:tr w:rsidR="006B1C19" w:rsidTr="00760644">
        <w:trPr>
          <w:cantSplit/>
          <w:trHeight w:val="1098"/>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（二）生态效益</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该指标是考评项目实施对生态所产生的积极或消极影响，并与立项计划生态效益目标相对比，考核其实现程度。</w:t>
            </w:r>
          </w:p>
        </w:tc>
      </w:tr>
      <w:tr w:rsidR="006B1C19" w:rsidTr="00760644">
        <w:trPr>
          <w:cantSplit/>
          <w:trHeight w:val="1538"/>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（三）扶贫减灾／劳动就业／协调发展/统筹城乡发展效益等</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该指标是根据不同类型建设项目的特点，考核其实施后在扶贫减灾、劳动就业或协调发展、统筹城乡发展等方面的效益，并与立项目标相对比，考核其实现程度。</w:t>
            </w:r>
          </w:p>
        </w:tc>
      </w:tr>
      <w:tr w:rsidR="006B1C19" w:rsidTr="00760644">
        <w:trPr>
          <w:cantSplit/>
          <w:trHeight w:val="1077"/>
        </w:trPr>
        <w:tc>
          <w:tcPr>
            <w:tcW w:w="477" w:type="dxa"/>
            <w:vMerge/>
            <w:vAlign w:val="center"/>
          </w:tcPr>
          <w:p w:rsidR="006B1C19" w:rsidRDefault="006B1C19" w:rsidP="00760644">
            <w:pPr>
              <w:jc w:val="center"/>
              <w:rPr>
                <w:rFonts w:ascii="仿宋_GB2312" w:eastAsia="仿宋_GB2312" w:hAnsi="宋体" w:hint="eastAsia"/>
                <w:color w:val="000000"/>
                <w:sz w:val="24"/>
              </w:rPr>
            </w:pPr>
          </w:p>
        </w:tc>
        <w:tc>
          <w:tcPr>
            <w:tcW w:w="603" w:type="dxa"/>
            <w:vMerge/>
          </w:tcPr>
          <w:p w:rsidR="006B1C19" w:rsidRDefault="006B1C19" w:rsidP="00760644">
            <w:pPr>
              <w:rPr>
                <w:rFonts w:ascii="仿宋_GB2312" w:eastAsia="仿宋_GB2312" w:hAnsi="宋体" w:hint="eastAsia"/>
                <w:color w:val="000000"/>
                <w:sz w:val="24"/>
              </w:rPr>
            </w:pPr>
          </w:p>
        </w:tc>
        <w:tc>
          <w:tcPr>
            <w:tcW w:w="3600"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（四）可持续性影响</w:t>
            </w:r>
          </w:p>
        </w:tc>
        <w:tc>
          <w:tcPr>
            <w:tcW w:w="5192" w:type="dxa"/>
            <w:vAlign w:val="center"/>
          </w:tcPr>
          <w:p w:rsidR="006B1C19" w:rsidRDefault="006B1C19" w:rsidP="00760644">
            <w:pPr>
              <w:rPr>
                <w:rFonts w:ascii="仿宋_GB2312" w:eastAsia="仿宋_GB2312" w:hAnsi="宋体" w:hint="eastAsia"/>
                <w:color w:val="000000"/>
                <w:sz w:val="24"/>
              </w:rPr>
            </w:pPr>
            <w:r>
              <w:rPr>
                <w:rFonts w:ascii="仿宋_GB2312" w:eastAsia="仿宋_GB2312" w:hAnsi="宋体" w:hint="eastAsia"/>
                <w:color w:val="000000"/>
                <w:sz w:val="24"/>
              </w:rPr>
              <w:t>该指标是考评项目实施后，对人、自然、资源等方面的可持续影响，并与立项计划可持续发展目标对比，考核其实现程度。</w:t>
            </w:r>
          </w:p>
        </w:tc>
      </w:tr>
    </w:tbl>
    <w:p w:rsidR="00D31ECB" w:rsidRPr="006B1C19" w:rsidRDefault="00D31ECB"/>
    <w:sectPr w:rsidR="00D31ECB" w:rsidRPr="006B1C19" w:rsidSect="00D31E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95A" w:rsidRDefault="0070795A" w:rsidP="006B1C19">
      <w:pPr>
        <w:spacing w:line="240" w:lineRule="auto"/>
      </w:pPr>
      <w:r>
        <w:separator/>
      </w:r>
    </w:p>
  </w:endnote>
  <w:endnote w:type="continuationSeparator" w:id="0">
    <w:p w:rsidR="0070795A" w:rsidRDefault="0070795A" w:rsidP="006B1C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Helvetica">
    <w:panose1 w:val="020B0604020202020204"/>
    <w:charset w:val="00"/>
    <w:family w:val="swiss"/>
    <w:pitch w:val="variable"/>
    <w:sig w:usb0="E0002AFF" w:usb1="C0007843" w:usb2="00000009" w:usb3="00000000" w:csb0="000001FF" w:csb1="00000000"/>
  </w:font>
  <w:font w:name="方正小标宋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95A" w:rsidRDefault="0070795A" w:rsidP="006B1C19">
      <w:pPr>
        <w:spacing w:line="240" w:lineRule="auto"/>
      </w:pPr>
      <w:r>
        <w:separator/>
      </w:r>
    </w:p>
  </w:footnote>
  <w:footnote w:type="continuationSeparator" w:id="0">
    <w:p w:rsidR="0070795A" w:rsidRDefault="0070795A" w:rsidP="006B1C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1C19"/>
    <w:rsid w:val="006B1C19"/>
    <w:rsid w:val="0070795A"/>
    <w:rsid w:val="00D31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C19"/>
    <w:pPr>
      <w:widowControl w:val="0"/>
      <w:spacing w:line="365" w:lineRule="atLeast"/>
      <w:ind w:left="1"/>
      <w:jc w:val="both"/>
      <w:textAlignment w:val="bottom"/>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1C19"/>
    <w:pPr>
      <w:pBdr>
        <w:bottom w:val="single" w:sz="6" w:space="1" w:color="auto"/>
      </w:pBdr>
      <w:tabs>
        <w:tab w:val="center" w:pos="4153"/>
        <w:tab w:val="right" w:pos="8306"/>
      </w:tabs>
      <w:snapToGrid w:val="0"/>
      <w:spacing w:line="240" w:lineRule="auto"/>
      <w:ind w:left="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6B1C19"/>
    <w:rPr>
      <w:sz w:val="18"/>
      <w:szCs w:val="18"/>
    </w:rPr>
  </w:style>
  <w:style w:type="paragraph" w:styleId="a4">
    <w:name w:val="footer"/>
    <w:basedOn w:val="a"/>
    <w:link w:val="Char0"/>
    <w:uiPriority w:val="99"/>
    <w:semiHidden/>
    <w:unhideWhenUsed/>
    <w:rsid w:val="006B1C19"/>
    <w:pPr>
      <w:tabs>
        <w:tab w:val="center" w:pos="4153"/>
        <w:tab w:val="right" w:pos="8306"/>
      </w:tabs>
      <w:snapToGrid w:val="0"/>
      <w:spacing w:line="240" w:lineRule="auto"/>
      <w:ind w:left="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6B1C19"/>
    <w:rPr>
      <w:sz w:val="18"/>
      <w:szCs w:val="18"/>
    </w:rPr>
  </w:style>
  <w:style w:type="paragraph" w:customStyle="1" w:styleId="CharCharCharCharCharCharChar">
    <w:name w:val="Char Char Char Char Char Char Char"/>
    <w:basedOn w:val="a"/>
    <w:rsid w:val="006B1C19"/>
    <w:pPr>
      <w:ind w:leftChars="50" w:left="1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2016-12-31T02:18:00Z</dcterms:created>
  <dcterms:modified xsi:type="dcterms:W3CDTF">2016-12-31T02:18:00Z</dcterms:modified>
</cp:coreProperties>
</file>