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44" w:rsidRPr="001B7A76" w:rsidRDefault="00836044" w:rsidP="00836044">
      <w:pPr>
        <w:widowControl/>
        <w:spacing w:line="527" w:lineRule="atLeast"/>
        <w:ind w:left="1"/>
        <w:rPr>
          <w:rFonts w:hint="eastAsia"/>
          <w:kern w:val="0"/>
          <w:sz w:val="20"/>
        </w:rPr>
      </w:pPr>
      <w:r w:rsidRPr="001B7A76">
        <w:rPr>
          <w:rFonts w:ascii="仿宋_GB2312" w:eastAsia="仿宋_GB2312" w:hint="eastAsia"/>
          <w:color w:val="000000"/>
          <w:kern w:val="0"/>
          <w:sz w:val="31"/>
          <w:szCs w:val="31"/>
        </w:rPr>
        <w:t>附件2：</w:t>
      </w:r>
    </w:p>
    <w:p w:rsidR="00836044" w:rsidRPr="001B7A76" w:rsidRDefault="00836044" w:rsidP="00836044">
      <w:pPr>
        <w:widowControl/>
        <w:spacing w:line="527" w:lineRule="atLeast"/>
        <w:ind w:left="1"/>
        <w:rPr>
          <w:kern w:val="0"/>
          <w:sz w:val="20"/>
        </w:rPr>
      </w:pPr>
    </w:p>
    <w:p w:rsidR="00836044" w:rsidRPr="001B7A76" w:rsidRDefault="00836044" w:rsidP="00836044">
      <w:pPr>
        <w:widowControl/>
        <w:spacing w:line="510" w:lineRule="atLeast"/>
        <w:ind w:left="1"/>
        <w:jc w:val="center"/>
        <w:rPr>
          <w:kern w:val="0"/>
          <w:sz w:val="20"/>
        </w:rPr>
      </w:pPr>
      <w:r w:rsidRPr="001B7A76">
        <w:rPr>
          <w:rFonts w:ascii="方正小标宋_GBK" w:eastAsia="方正小标宋_GBK" w:hint="eastAsia"/>
          <w:color w:val="000000"/>
          <w:kern w:val="0"/>
          <w:sz w:val="44"/>
          <w:szCs w:val="44"/>
        </w:rPr>
        <w:t>怀柔区2011年度环保专项行动领导小组</w:t>
      </w:r>
    </w:p>
    <w:p w:rsidR="00836044" w:rsidRPr="001B7A76" w:rsidRDefault="00836044" w:rsidP="00836044">
      <w:pPr>
        <w:widowControl/>
        <w:spacing w:line="510" w:lineRule="atLeast"/>
        <w:ind w:left="1"/>
        <w:jc w:val="center"/>
        <w:rPr>
          <w:kern w:val="0"/>
          <w:sz w:val="20"/>
        </w:rPr>
      </w:pPr>
      <w:r w:rsidRPr="001B7A76">
        <w:rPr>
          <w:rFonts w:ascii="方正小标宋_GBK" w:eastAsia="方正小标宋_GBK" w:hint="eastAsia"/>
          <w:color w:val="000000"/>
          <w:kern w:val="0"/>
          <w:sz w:val="44"/>
          <w:szCs w:val="44"/>
        </w:rPr>
        <w:t>各成员单位职责分工表</w:t>
      </w:r>
    </w:p>
    <w:p w:rsidR="00836044" w:rsidRPr="001B7A76" w:rsidRDefault="00836044" w:rsidP="00836044">
      <w:pPr>
        <w:widowControl/>
        <w:spacing w:line="510" w:lineRule="atLeast"/>
        <w:ind w:left="1"/>
        <w:jc w:val="center"/>
        <w:rPr>
          <w:kern w:val="0"/>
          <w:sz w:val="20"/>
        </w:rPr>
      </w:pPr>
    </w:p>
    <w:p w:rsidR="00836044" w:rsidRPr="001B7A76" w:rsidRDefault="00836044" w:rsidP="00836044">
      <w:pPr>
        <w:widowControl/>
        <w:spacing w:line="365" w:lineRule="atLeast"/>
        <w:ind w:left="1"/>
        <w:rPr>
          <w:kern w:val="0"/>
          <w:sz w:val="20"/>
        </w:rPr>
      </w:pPr>
    </w:p>
    <w:tbl>
      <w:tblPr>
        <w:tblW w:w="0" w:type="auto"/>
        <w:tblLayout w:type="fixed"/>
        <w:tblCellMar>
          <w:left w:w="0" w:type="dxa"/>
          <w:right w:w="0" w:type="dxa"/>
        </w:tblCellMar>
        <w:tblLook w:val="0000"/>
      </w:tblPr>
      <w:tblGrid>
        <w:gridCol w:w="766"/>
        <w:gridCol w:w="2145"/>
        <w:gridCol w:w="6213"/>
      </w:tblGrid>
      <w:tr w:rsidR="00836044" w:rsidRPr="001B7A76" w:rsidTr="00A814BD">
        <w:trPr>
          <w:trHeight w:val="420"/>
        </w:trPr>
        <w:tc>
          <w:tcPr>
            <w:tcW w:w="766" w:type="dxa"/>
            <w:tcBorders>
              <w:top w:val="single" w:sz="2"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序号</w:t>
            </w:r>
          </w:p>
        </w:tc>
        <w:tc>
          <w:tcPr>
            <w:tcW w:w="2145" w:type="dxa"/>
            <w:tcBorders>
              <w:top w:val="single" w:sz="2"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单位</w:t>
            </w:r>
          </w:p>
        </w:tc>
        <w:tc>
          <w:tcPr>
            <w:tcW w:w="6213" w:type="dxa"/>
            <w:tcBorders>
              <w:top w:val="single" w:sz="2"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职责分工</w:t>
            </w:r>
          </w:p>
        </w:tc>
      </w:tr>
      <w:tr w:rsidR="00836044" w:rsidRPr="001B7A76" w:rsidTr="00A814BD">
        <w:trPr>
          <w:trHeight w:val="806"/>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1</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区环保局</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left"/>
              <w:rPr>
                <w:kern w:val="0"/>
                <w:sz w:val="20"/>
              </w:rPr>
            </w:pPr>
            <w:r w:rsidRPr="001B7A76">
              <w:rPr>
                <w:rFonts w:ascii="仿宋_GB2312" w:eastAsia="仿宋_GB2312" w:hint="eastAsia"/>
                <w:color w:val="000000"/>
                <w:kern w:val="0"/>
                <w:sz w:val="24"/>
                <w:szCs w:val="24"/>
              </w:rPr>
              <w:t>负责承办环保专项行动的组织协调工作，依法查处环境违法行为。</w:t>
            </w:r>
          </w:p>
        </w:tc>
      </w:tr>
      <w:tr w:rsidR="00836044" w:rsidRPr="001B7A76" w:rsidTr="00A814BD">
        <w:trPr>
          <w:trHeight w:val="1157"/>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2</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区发展改革委</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left"/>
              <w:rPr>
                <w:kern w:val="0"/>
                <w:sz w:val="20"/>
              </w:rPr>
            </w:pPr>
            <w:r w:rsidRPr="001B7A76">
              <w:rPr>
                <w:rFonts w:ascii="仿宋_GB2312" w:eastAsia="仿宋_GB2312" w:hint="eastAsia"/>
                <w:color w:val="000000"/>
                <w:kern w:val="0"/>
                <w:sz w:val="24"/>
                <w:szCs w:val="24"/>
              </w:rPr>
              <w:t>推进产业结构调整，推进污水处理厂、垃圾处理设施项目审批，组织对重点行业重金属企业进行清洁生产审核与验收。</w:t>
            </w:r>
          </w:p>
        </w:tc>
      </w:tr>
      <w:tr w:rsidR="00836044" w:rsidRPr="001B7A76" w:rsidTr="00A814BD">
        <w:trPr>
          <w:trHeight w:val="777"/>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3</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区经济信息化委</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left"/>
              <w:rPr>
                <w:kern w:val="0"/>
                <w:sz w:val="20"/>
              </w:rPr>
            </w:pPr>
            <w:r w:rsidRPr="001B7A76">
              <w:rPr>
                <w:rFonts w:ascii="仿宋_GB2312" w:eastAsia="仿宋_GB2312" w:hint="eastAsia"/>
                <w:color w:val="000000"/>
                <w:kern w:val="0"/>
                <w:sz w:val="24"/>
                <w:szCs w:val="24"/>
              </w:rPr>
              <w:t>负责组织工业产业结构调整，继续做好</w:t>
            </w:r>
            <w:r w:rsidRPr="001B7A76">
              <w:rPr>
                <w:rFonts w:eastAsia="仿宋_GB2312" w:hint="eastAsia"/>
                <w:color w:val="000000"/>
                <w:kern w:val="0"/>
                <w:sz w:val="24"/>
                <w:szCs w:val="24"/>
              </w:rPr>
              <w:t>“</w:t>
            </w:r>
            <w:r w:rsidRPr="001B7A76">
              <w:rPr>
                <w:rFonts w:ascii="仿宋_GB2312" w:eastAsia="仿宋_GB2312" w:hint="eastAsia"/>
                <w:color w:val="000000"/>
                <w:kern w:val="0"/>
                <w:sz w:val="24"/>
                <w:szCs w:val="24"/>
              </w:rPr>
              <w:t>高污染、高耗能、高耗水</w:t>
            </w:r>
            <w:r w:rsidRPr="001B7A76">
              <w:rPr>
                <w:rFonts w:eastAsia="仿宋_GB2312" w:hint="eastAsia"/>
                <w:color w:val="000000"/>
                <w:kern w:val="0"/>
                <w:sz w:val="24"/>
                <w:szCs w:val="24"/>
              </w:rPr>
              <w:t>”</w:t>
            </w:r>
            <w:r w:rsidRPr="001B7A76">
              <w:rPr>
                <w:rFonts w:ascii="仿宋_GB2312" w:eastAsia="仿宋_GB2312" w:hint="eastAsia"/>
                <w:color w:val="000000"/>
                <w:kern w:val="0"/>
                <w:sz w:val="24"/>
                <w:szCs w:val="24"/>
              </w:rPr>
              <w:t>企业退出工作。</w:t>
            </w:r>
          </w:p>
        </w:tc>
      </w:tr>
      <w:tr w:rsidR="00836044" w:rsidRPr="001B7A76" w:rsidTr="00A814BD">
        <w:trPr>
          <w:trHeight w:val="806"/>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4</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区监察局</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left"/>
              <w:rPr>
                <w:kern w:val="0"/>
                <w:sz w:val="20"/>
              </w:rPr>
            </w:pPr>
            <w:r w:rsidRPr="001B7A76">
              <w:rPr>
                <w:rFonts w:ascii="仿宋_GB2312" w:eastAsia="仿宋_GB2312" w:hint="eastAsia"/>
                <w:color w:val="000000"/>
                <w:kern w:val="0"/>
                <w:sz w:val="24"/>
                <w:szCs w:val="24"/>
              </w:rPr>
              <w:t>加大监督检查力度，依法依纪对行政机关及其工作人员违反环境保护法律法规的行为进行责任追究。</w:t>
            </w:r>
          </w:p>
        </w:tc>
      </w:tr>
      <w:tr w:rsidR="00836044" w:rsidRPr="001B7A76" w:rsidTr="00A814BD">
        <w:trPr>
          <w:trHeight w:val="1191"/>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5</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区司法局</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left"/>
              <w:rPr>
                <w:kern w:val="0"/>
                <w:sz w:val="20"/>
              </w:rPr>
            </w:pPr>
            <w:r w:rsidRPr="001B7A76">
              <w:rPr>
                <w:rFonts w:ascii="仿宋_GB2312" w:eastAsia="仿宋_GB2312" w:hint="eastAsia"/>
                <w:color w:val="000000"/>
                <w:kern w:val="0"/>
                <w:sz w:val="24"/>
                <w:szCs w:val="24"/>
              </w:rPr>
              <w:t>将环保法律法规纳入</w:t>
            </w:r>
            <w:r w:rsidRPr="001B7A76">
              <w:rPr>
                <w:rFonts w:eastAsia="仿宋_GB2312" w:hint="eastAsia"/>
                <w:color w:val="000000"/>
                <w:kern w:val="0"/>
                <w:sz w:val="24"/>
                <w:szCs w:val="24"/>
              </w:rPr>
              <w:t>“</w:t>
            </w:r>
            <w:r w:rsidRPr="001B7A76">
              <w:rPr>
                <w:rFonts w:ascii="仿宋_GB2312" w:eastAsia="仿宋_GB2312" w:hint="eastAsia"/>
                <w:color w:val="000000"/>
                <w:kern w:val="0"/>
                <w:sz w:val="24"/>
                <w:szCs w:val="24"/>
              </w:rPr>
              <w:t>六五</w:t>
            </w:r>
            <w:r w:rsidRPr="001B7A76">
              <w:rPr>
                <w:rFonts w:eastAsia="仿宋_GB2312" w:hint="eastAsia"/>
                <w:color w:val="000000"/>
                <w:kern w:val="0"/>
                <w:sz w:val="24"/>
                <w:szCs w:val="24"/>
              </w:rPr>
              <w:t>”</w:t>
            </w:r>
            <w:r w:rsidRPr="001B7A76">
              <w:rPr>
                <w:rFonts w:ascii="仿宋_GB2312" w:eastAsia="仿宋_GB2312" w:hint="eastAsia"/>
                <w:color w:val="000000"/>
                <w:kern w:val="0"/>
                <w:sz w:val="24"/>
                <w:szCs w:val="24"/>
              </w:rPr>
              <w:t>普法规划，积极配合相关部门开展环保法律法规的宣传教育活动，提供法律服务和法律援助。</w:t>
            </w:r>
          </w:p>
        </w:tc>
      </w:tr>
      <w:tr w:rsidR="00836044" w:rsidRPr="001B7A76" w:rsidTr="00A814BD">
        <w:trPr>
          <w:trHeight w:val="511"/>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6</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区财政局</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left"/>
              <w:rPr>
                <w:kern w:val="0"/>
                <w:sz w:val="20"/>
              </w:rPr>
            </w:pPr>
            <w:r w:rsidRPr="001B7A76">
              <w:rPr>
                <w:rFonts w:ascii="仿宋_GB2312" w:eastAsia="仿宋_GB2312" w:hint="eastAsia"/>
                <w:color w:val="000000"/>
                <w:kern w:val="0"/>
                <w:sz w:val="24"/>
                <w:szCs w:val="24"/>
              </w:rPr>
              <w:t>负责做好财政相关工作。</w:t>
            </w:r>
          </w:p>
        </w:tc>
      </w:tr>
      <w:tr w:rsidR="00836044" w:rsidRPr="001B7A76" w:rsidTr="00A814BD">
        <w:trPr>
          <w:trHeight w:val="823"/>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7</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区住房城乡建设委</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left"/>
              <w:rPr>
                <w:kern w:val="0"/>
                <w:sz w:val="20"/>
              </w:rPr>
            </w:pPr>
            <w:r w:rsidRPr="001B7A76">
              <w:rPr>
                <w:rFonts w:ascii="仿宋_GB2312" w:eastAsia="仿宋_GB2312" w:hint="eastAsia"/>
                <w:color w:val="000000"/>
                <w:kern w:val="0"/>
                <w:sz w:val="24"/>
                <w:szCs w:val="24"/>
              </w:rPr>
              <w:t>负责做好施工工地扬尘污染控制工作，逐步将施工企业扬尘污染违法记录纳入建筑企业不良信息管理系统。</w:t>
            </w:r>
          </w:p>
        </w:tc>
      </w:tr>
      <w:tr w:rsidR="00836044" w:rsidRPr="001B7A76" w:rsidTr="00A814BD">
        <w:trPr>
          <w:trHeight w:val="1486"/>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lastRenderedPageBreak/>
              <w:t>8</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区市政市容委</w:t>
            </w:r>
          </w:p>
        </w:tc>
        <w:tc>
          <w:tcPr>
            <w:tcW w:w="6213" w:type="dxa"/>
            <w:tcBorders>
              <w:top w:val="single" w:sz="4" w:space="0" w:color="000000"/>
              <w:left w:val="single" w:sz="4" w:space="0" w:color="000000"/>
              <w:bottom w:val="single" w:sz="2" w:space="0" w:color="000000"/>
              <w:right w:val="single" w:sz="2" w:space="0" w:color="000000"/>
            </w:tcBorders>
          </w:tcPr>
          <w:p w:rsidR="00836044" w:rsidRPr="001B7A76" w:rsidRDefault="00836044" w:rsidP="00A814BD">
            <w:pPr>
              <w:widowControl/>
              <w:spacing w:line="300" w:lineRule="atLeast"/>
              <w:ind w:left="1"/>
              <w:rPr>
                <w:kern w:val="0"/>
                <w:sz w:val="20"/>
              </w:rPr>
            </w:pPr>
            <w:r w:rsidRPr="001B7A76">
              <w:rPr>
                <w:rFonts w:ascii="仿宋_GB2312" w:eastAsia="仿宋_GB2312" w:hint="eastAsia"/>
                <w:color w:val="000000"/>
                <w:kern w:val="0"/>
                <w:sz w:val="24"/>
                <w:szCs w:val="24"/>
              </w:rPr>
              <w:t>负责对垃圾填埋场统一监管工作，加快</w:t>
            </w:r>
            <w:r w:rsidRPr="001B7A76">
              <w:rPr>
                <w:rFonts w:ascii="仿宋_GB2312" w:eastAsia="仿宋_GB2312" w:hint="eastAsia"/>
                <w:kern w:val="0"/>
                <w:sz w:val="24"/>
                <w:szCs w:val="24"/>
              </w:rPr>
              <w:t>大型垃圾填埋场全密闭等</w:t>
            </w:r>
            <w:r w:rsidRPr="001B7A76">
              <w:rPr>
                <w:rFonts w:ascii="仿宋_GB2312" w:eastAsia="仿宋_GB2312" w:hint="eastAsia"/>
                <w:color w:val="000000"/>
                <w:kern w:val="0"/>
                <w:sz w:val="24"/>
                <w:szCs w:val="24"/>
              </w:rPr>
              <w:t>污染防治工程进度；进一步推进燃煤锅炉整合工程，加紧推进建成区燃煤锅炉改天然气工程，确保2011年二氧化硫削减3</w:t>
            </w:r>
            <w:r w:rsidRPr="001B7A76">
              <w:rPr>
                <w:rFonts w:ascii="宋体" w:hAnsi="宋体" w:cs="宋体" w:hint="eastAsia"/>
                <w:color w:val="000000"/>
                <w:kern w:val="0"/>
                <w:sz w:val="24"/>
                <w:szCs w:val="24"/>
              </w:rPr>
              <w:t>﹪</w:t>
            </w:r>
            <w:r w:rsidRPr="001B7A76">
              <w:rPr>
                <w:rFonts w:ascii="仿宋_GB2312" w:eastAsia="仿宋_GB2312" w:hAnsi="仿宋_GB2312" w:cs="仿宋_GB2312" w:hint="eastAsia"/>
                <w:color w:val="000000"/>
                <w:kern w:val="0"/>
                <w:sz w:val="24"/>
                <w:szCs w:val="24"/>
              </w:rPr>
              <w:t>指标任务完成。</w:t>
            </w:r>
          </w:p>
        </w:tc>
      </w:tr>
      <w:tr w:rsidR="00836044" w:rsidRPr="001B7A76" w:rsidTr="00A814BD">
        <w:trPr>
          <w:trHeight w:val="1101"/>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9</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区水务局</w:t>
            </w:r>
          </w:p>
        </w:tc>
        <w:tc>
          <w:tcPr>
            <w:tcW w:w="6213" w:type="dxa"/>
            <w:tcBorders>
              <w:top w:val="single" w:sz="4" w:space="0" w:color="000000"/>
              <w:left w:val="single" w:sz="4" w:space="0" w:color="000000"/>
              <w:bottom w:val="single" w:sz="2" w:space="0" w:color="000000"/>
              <w:right w:val="single" w:sz="2" w:space="0" w:color="000000"/>
            </w:tcBorders>
          </w:tcPr>
          <w:p w:rsidR="00836044" w:rsidRPr="001B7A76" w:rsidRDefault="00836044" w:rsidP="00A814BD">
            <w:pPr>
              <w:widowControl/>
              <w:spacing w:line="300" w:lineRule="atLeast"/>
              <w:ind w:left="1"/>
              <w:rPr>
                <w:kern w:val="0"/>
                <w:sz w:val="20"/>
              </w:rPr>
            </w:pPr>
            <w:r w:rsidRPr="001B7A76">
              <w:rPr>
                <w:rFonts w:ascii="仿宋_GB2312" w:eastAsia="仿宋_GB2312" w:hint="eastAsia"/>
                <w:color w:val="000000"/>
                <w:kern w:val="0"/>
                <w:sz w:val="24"/>
                <w:szCs w:val="24"/>
              </w:rPr>
              <w:t>加强对污水处理厂、污水管网建设运营单位的监管，督促各污水处理厂提升污水处理能力，实现2011年水污染物减排2%的目标；加强对重点流域综合整治的监管。</w:t>
            </w:r>
          </w:p>
        </w:tc>
      </w:tr>
      <w:tr w:rsidR="00836044" w:rsidRPr="001B7A76" w:rsidTr="00A814BD">
        <w:trPr>
          <w:trHeight w:val="823"/>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10</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工商分局</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left"/>
              <w:rPr>
                <w:kern w:val="0"/>
                <w:sz w:val="20"/>
              </w:rPr>
            </w:pPr>
            <w:r w:rsidRPr="001B7A76">
              <w:rPr>
                <w:rFonts w:ascii="仿宋_GB2312" w:eastAsia="仿宋_GB2312" w:hint="eastAsia"/>
                <w:color w:val="000000"/>
                <w:kern w:val="0"/>
                <w:sz w:val="24"/>
                <w:szCs w:val="24"/>
              </w:rPr>
              <w:t>负责依法责令关停企业办理变更或注销登记，依据工商管理法规查处无照经营行为。</w:t>
            </w:r>
          </w:p>
        </w:tc>
      </w:tr>
      <w:tr w:rsidR="00836044" w:rsidRPr="001B7A76" w:rsidTr="00A814BD">
        <w:trPr>
          <w:trHeight w:val="806"/>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11</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区安全监管局</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left"/>
              <w:rPr>
                <w:kern w:val="0"/>
                <w:sz w:val="20"/>
              </w:rPr>
            </w:pPr>
            <w:r w:rsidRPr="001B7A76">
              <w:rPr>
                <w:rFonts w:ascii="仿宋_GB2312" w:eastAsia="仿宋_GB2312" w:hint="eastAsia"/>
                <w:color w:val="000000"/>
                <w:kern w:val="0"/>
                <w:sz w:val="24"/>
                <w:szCs w:val="24"/>
              </w:rPr>
              <w:t>负责对重金属排放企业、尾矿库、危险化学品生产、经营单位的安全监管。</w:t>
            </w:r>
          </w:p>
        </w:tc>
      </w:tr>
      <w:tr w:rsidR="00836044" w:rsidRPr="001B7A76" w:rsidTr="00A814BD">
        <w:trPr>
          <w:trHeight w:val="539"/>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序号</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单位</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职责分工</w:t>
            </w:r>
          </w:p>
        </w:tc>
      </w:tr>
      <w:tr w:rsidR="00836044" w:rsidRPr="001B7A76" w:rsidTr="00A814BD">
        <w:trPr>
          <w:trHeight w:val="1248"/>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12</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区农业局</w:t>
            </w:r>
          </w:p>
        </w:tc>
        <w:tc>
          <w:tcPr>
            <w:tcW w:w="6213" w:type="dxa"/>
            <w:tcBorders>
              <w:top w:val="single" w:sz="4" w:space="0" w:color="000000"/>
              <w:left w:val="single" w:sz="4" w:space="0" w:color="000000"/>
              <w:bottom w:val="single" w:sz="2" w:space="0" w:color="000000"/>
              <w:right w:val="single" w:sz="2" w:space="0" w:color="000000"/>
            </w:tcBorders>
          </w:tcPr>
          <w:p w:rsidR="00836044" w:rsidRPr="001B7A76" w:rsidRDefault="00836044" w:rsidP="00A814BD">
            <w:pPr>
              <w:widowControl/>
              <w:spacing w:line="300" w:lineRule="atLeast"/>
              <w:ind w:left="1"/>
              <w:rPr>
                <w:kern w:val="0"/>
                <w:sz w:val="20"/>
              </w:rPr>
            </w:pPr>
            <w:r w:rsidRPr="001B7A76">
              <w:rPr>
                <w:rFonts w:ascii="仿宋_GB2312" w:eastAsia="仿宋_GB2312" w:hint="eastAsia"/>
                <w:color w:val="000000"/>
                <w:kern w:val="0"/>
                <w:sz w:val="24"/>
                <w:szCs w:val="24"/>
              </w:rPr>
              <w:t>负责组织重点流域畜禽养殖场的粪污治理；落实农业源污染减排项目，确保2011年怀柔区农业污染减排2</w:t>
            </w:r>
            <w:r w:rsidRPr="001B7A76">
              <w:rPr>
                <w:rFonts w:ascii="宋体" w:hAnsi="宋体" w:cs="宋体" w:hint="eastAsia"/>
                <w:color w:val="000000"/>
                <w:kern w:val="0"/>
                <w:sz w:val="24"/>
                <w:szCs w:val="24"/>
              </w:rPr>
              <w:t>﹪</w:t>
            </w:r>
            <w:r w:rsidRPr="001B7A76">
              <w:rPr>
                <w:rFonts w:ascii="仿宋_GB2312" w:eastAsia="仿宋_GB2312" w:hAnsi="仿宋_GB2312" w:cs="仿宋_GB2312" w:hint="eastAsia"/>
                <w:color w:val="000000"/>
                <w:kern w:val="0"/>
                <w:sz w:val="24"/>
                <w:szCs w:val="24"/>
              </w:rPr>
              <w:t>指标完成。</w:t>
            </w:r>
          </w:p>
        </w:tc>
      </w:tr>
      <w:tr w:rsidR="00836044" w:rsidRPr="001B7A76" w:rsidTr="00A814BD">
        <w:trPr>
          <w:trHeight w:val="1577"/>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13</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区城管大队</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left"/>
              <w:rPr>
                <w:kern w:val="0"/>
                <w:sz w:val="20"/>
              </w:rPr>
            </w:pPr>
            <w:r w:rsidRPr="001B7A76">
              <w:rPr>
                <w:rFonts w:ascii="仿宋_GB2312" w:eastAsia="仿宋_GB2312" w:hint="eastAsia"/>
                <w:color w:val="000000"/>
                <w:kern w:val="0"/>
                <w:sz w:val="24"/>
                <w:szCs w:val="24"/>
              </w:rPr>
              <w:t>负责对露天烧烤、煤炉、焚烧垃圾和向河道倾倒垃圾、污水等违法行为的查处、治理。加大对施工扬尘、道路遗撒等违法行为查处力度，对扬尘污染严重工地进行严格处罚。</w:t>
            </w:r>
          </w:p>
        </w:tc>
      </w:tr>
      <w:tr w:rsidR="00836044" w:rsidRPr="001B7A76" w:rsidTr="00A814BD">
        <w:trPr>
          <w:trHeight w:val="942"/>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14</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怀柔供电公司</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left"/>
              <w:rPr>
                <w:kern w:val="0"/>
                <w:sz w:val="20"/>
              </w:rPr>
            </w:pPr>
            <w:r w:rsidRPr="001B7A76">
              <w:rPr>
                <w:rFonts w:ascii="仿宋_GB2312" w:eastAsia="仿宋_GB2312" w:hint="eastAsia"/>
                <w:color w:val="000000"/>
                <w:kern w:val="0"/>
                <w:sz w:val="24"/>
                <w:szCs w:val="24"/>
              </w:rPr>
              <w:t>负责监督电力企业按照政府决定要求对违法排污企业采取停电、限电措施，监督检查电力企业排污状况。</w:t>
            </w:r>
          </w:p>
        </w:tc>
      </w:tr>
      <w:tr w:rsidR="00836044" w:rsidRPr="001B7A76" w:rsidTr="00A814BD">
        <w:trPr>
          <w:trHeight w:val="834"/>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15</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雁栖经济开发区</w:t>
            </w:r>
          </w:p>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管委会</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left"/>
              <w:rPr>
                <w:kern w:val="0"/>
                <w:sz w:val="20"/>
              </w:rPr>
            </w:pPr>
            <w:r w:rsidRPr="001B7A76">
              <w:rPr>
                <w:rFonts w:ascii="仿宋_GB2312" w:eastAsia="仿宋_GB2312" w:hint="eastAsia"/>
                <w:color w:val="000000"/>
                <w:kern w:val="0"/>
                <w:sz w:val="24"/>
                <w:szCs w:val="24"/>
              </w:rPr>
              <w:t>加强对园区企业的行业管理。组织开发区内重点排污企业设立企业环境监督员，督促企业提升污染治理水平。</w:t>
            </w:r>
          </w:p>
        </w:tc>
      </w:tr>
      <w:tr w:rsidR="00836044" w:rsidRPr="001B7A76" w:rsidTr="00A814BD">
        <w:trPr>
          <w:trHeight w:val="1231"/>
        </w:trPr>
        <w:tc>
          <w:tcPr>
            <w:tcW w:w="766" w:type="dxa"/>
            <w:tcBorders>
              <w:top w:val="single" w:sz="4" w:space="0" w:color="000000"/>
              <w:left w:val="single" w:sz="2"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lastRenderedPageBreak/>
              <w:t>16</w:t>
            </w:r>
          </w:p>
        </w:tc>
        <w:tc>
          <w:tcPr>
            <w:tcW w:w="2145"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center"/>
              <w:rPr>
                <w:kern w:val="0"/>
                <w:sz w:val="20"/>
              </w:rPr>
            </w:pPr>
            <w:r w:rsidRPr="001B7A76">
              <w:rPr>
                <w:rFonts w:ascii="仿宋_GB2312" w:eastAsia="仿宋_GB2312" w:hint="eastAsia"/>
                <w:color w:val="000000"/>
                <w:kern w:val="0"/>
                <w:sz w:val="24"/>
                <w:szCs w:val="24"/>
              </w:rPr>
              <w:t>各镇乡政府</w:t>
            </w:r>
          </w:p>
        </w:tc>
        <w:tc>
          <w:tcPr>
            <w:tcW w:w="6213" w:type="dxa"/>
            <w:tcBorders>
              <w:top w:val="single" w:sz="4" w:space="0" w:color="000000"/>
              <w:left w:val="single" w:sz="4" w:space="0" w:color="000000"/>
              <w:bottom w:val="single" w:sz="2" w:space="0" w:color="000000"/>
              <w:right w:val="single" w:sz="2" w:space="0" w:color="000000"/>
            </w:tcBorders>
            <w:vAlign w:val="center"/>
          </w:tcPr>
          <w:p w:rsidR="00836044" w:rsidRPr="001B7A76" w:rsidRDefault="00836044" w:rsidP="00A814BD">
            <w:pPr>
              <w:widowControl/>
              <w:spacing w:line="365" w:lineRule="atLeast"/>
              <w:ind w:left="1"/>
              <w:jc w:val="left"/>
              <w:rPr>
                <w:kern w:val="0"/>
                <w:sz w:val="20"/>
              </w:rPr>
            </w:pPr>
            <w:r w:rsidRPr="001B7A76">
              <w:rPr>
                <w:rFonts w:ascii="仿宋_GB2312" w:eastAsia="仿宋_GB2312" w:hint="eastAsia"/>
                <w:color w:val="000000"/>
                <w:kern w:val="0"/>
                <w:sz w:val="24"/>
                <w:szCs w:val="24"/>
              </w:rPr>
              <w:t>配合相关部门的环保专项执法检查；配合搞好所属辖区内违法排污企业取缔、关闭等整改措施的落实、未批先建建设项目停止建设、停止生产等。</w:t>
            </w:r>
          </w:p>
        </w:tc>
      </w:tr>
    </w:tbl>
    <w:p w:rsidR="009C0429" w:rsidRPr="00836044" w:rsidRDefault="009C0429"/>
    <w:sectPr w:rsidR="009C0429" w:rsidRPr="00836044" w:rsidSect="009C04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297" w:rsidRDefault="00E86297" w:rsidP="00836044">
      <w:r>
        <w:separator/>
      </w:r>
    </w:p>
  </w:endnote>
  <w:endnote w:type="continuationSeparator" w:id="0">
    <w:p w:rsidR="00E86297" w:rsidRDefault="00E86297" w:rsidP="00836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方正小标宋_GBK">
    <w:altName w:val="Microsoft JhengHei Light"/>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297" w:rsidRDefault="00E86297" w:rsidP="00836044">
      <w:r>
        <w:separator/>
      </w:r>
    </w:p>
  </w:footnote>
  <w:footnote w:type="continuationSeparator" w:id="0">
    <w:p w:rsidR="00E86297" w:rsidRDefault="00E86297" w:rsidP="00836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044"/>
    <w:rsid w:val="00836044"/>
    <w:rsid w:val="009C0429"/>
    <w:rsid w:val="00E862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60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36044"/>
    <w:rPr>
      <w:sz w:val="18"/>
      <w:szCs w:val="18"/>
    </w:rPr>
  </w:style>
  <w:style w:type="paragraph" w:styleId="a4">
    <w:name w:val="footer"/>
    <w:basedOn w:val="a"/>
    <w:link w:val="Char0"/>
    <w:uiPriority w:val="99"/>
    <w:semiHidden/>
    <w:unhideWhenUsed/>
    <w:rsid w:val="008360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360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524</Characters>
  <Application>Microsoft Office Word</Application>
  <DocSecurity>0</DocSecurity>
  <Lines>18</Lines>
  <Paragraphs>20</Paragraphs>
  <ScaleCrop>false</ScaleCrop>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2017-01-17T08:20:00Z</dcterms:created>
  <dcterms:modified xsi:type="dcterms:W3CDTF">2017-01-17T08:21:00Z</dcterms:modified>
</cp:coreProperties>
</file>