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宋体" w:hAnsi="宋体" w:cs="宋体"/>
          <w:sz w:val="32"/>
          <w:szCs w:val="32"/>
        </w:rPr>
      </w:pPr>
      <w:r>
        <w:rPr>
          <w:rFonts w:hint="eastAsia" w:ascii="宋体" w:hAnsi="宋体" w:cs="宋体"/>
          <w:sz w:val="32"/>
          <w:szCs w:val="32"/>
        </w:rPr>
        <w:t>《退耕还林条例》</w:t>
      </w:r>
    </w:p>
    <w:tbl>
      <w:tblPr>
        <w:tblStyle w:val="5"/>
        <w:tblW w:w="5287" w:type="pct"/>
        <w:tblInd w:w="-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8"/>
        <w:gridCol w:w="1371"/>
        <w:gridCol w:w="1911"/>
        <w:gridCol w:w="1337"/>
        <w:gridCol w:w="1351"/>
        <w:gridCol w:w="1989"/>
        <w:gridCol w:w="3460"/>
        <w:gridCol w:w="958"/>
        <w:gridCol w:w="1010"/>
        <w:gridCol w:w="1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blHeader/>
        </w:trPr>
        <w:tc>
          <w:tcPr>
            <w:tcW w:w="136" w:type="pct"/>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CESI仿宋-GB2312" w:hAnsi="CESI仿宋-GB2312" w:eastAsia="CESI仿宋-GB2312" w:cs="CESI仿宋-GB2312"/>
                <w:b/>
                <w:i w:val="0"/>
                <w:color w:val="000000"/>
                <w:sz w:val="24"/>
                <w:szCs w:val="24"/>
                <w:u w:val="none"/>
              </w:rPr>
            </w:pPr>
            <w:r>
              <w:rPr>
                <w:rFonts w:hint="eastAsia" w:ascii="CESI仿宋-GB2312" w:hAnsi="CESI仿宋-GB2312" w:eastAsia="CESI仿宋-GB2312" w:cs="CESI仿宋-GB2312"/>
                <w:b/>
                <w:i w:val="0"/>
                <w:color w:val="000000"/>
                <w:kern w:val="0"/>
                <w:sz w:val="24"/>
                <w:szCs w:val="24"/>
                <w:u w:val="none"/>
                <w:lang w:val="en-US" w:eastAsia="zh-CN" w:bidi="ar"/>
              </w:rPr>
              <w:t>序</w:t>
            </w:r>
            <w:r>
              <w:rPr>
                <w:rFonts w:hint="eastAsia" w:ascii="CESI仿宋-GB2312" w:hAnsi="CESI仿宋-GB2312" w:eastAsia="CESI仿宋-GB2312" w:cs="CESI仿宋-GB2312"/>
                <w:b/>
                <w:i w:val="0"/>
                <w:color w:val="000000"/>
                <w:kern w:val="0"/>
                <w:sz w:val="24"/>
                <w:szCs w:val="24"/>
                <w:u w:val="none"/>
                <w:lang w:val="en-US" w:eastAsia="zh-CN" w:bidi="ar"/>
              </w:rPr>
              <w:br w:type="textWrapping"/>
            </w:r>
            <w:r>
              <w:rPr>
                <w:rFonts w:hint="eastAsia" w:ascii="CESI仿宋-GB2312" w:hAnsi="CESI仿宋-GB2312" w:eastAsia="CESI仿宋-GB2312" w:cs="CESI仿宋-GB2312"/>
                <w:b/>
                <w:i w:val="0"/>
                <w:color w:val="000000"/>
                <w:kern w:val="0"/>
                <w:sz w:val="24"/>
                <w:szCs w:val="24"/>
                <w:u w:val="none"/>
                <w:lang w:val="en-US" w:eastAsia="zh-CN" w:bidi="ar"/>
              </w:rPr>
              <w:t>号</w:t>
            </w:r>
          </w:p>
        </w:tc>
        <w:tc>
          <w:tcPr>
            <w:tcW w:w="457" w:type="pct"/>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kern w:val="0"/>
                <w:sz w:val="24"/>
                <w:szCs w:val="24"/>
                <w:u w:val="none"/>
                <w:lang w:val="en-US" w:eastAsia="zh-CN" w:bidi="ar"/>
              </w:rPr>
            </w:pPr>
            <w:r>
              <w:rPr>
                <w:rFonts w:hint="eastAsia" w:ascii="CESI仿宋-GB2312" w:hAnsi="CESI仿宋-GB2312" w:eastAsia="CESI仿宋-GB2312" w:cs="CESI仿宋-GB2312"/>
                <w:b/>
                <w:i w:val="0"/>
                <w:color w:val="000000"/>
                <w:kern w:val="0"/>
                <w:sz w:val="24"/>
                <w:szCs w:val="24"/>
                <w:u w:val="none"/>
                <w:lang w:val="en-US" w:eastAsia="zh-CN" w:bidi="ar"/>
              </w:rPr>
              <w:t>裁量权</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sz w:val="24"/>
                <w:szCs w:val="24"/>
                <w:u w:val="none"/>
              </w:rPr>
            </w:pPr>
            <w:r>
              <w:rPr>
                <w:rFonts w:hint="eastAsia" w:ascii="CESI仿宋-GB2312" w:hAnsi="CESI仿宋-GB2312" w:eastAsia="CESI仿宋-GB2312" w:cs="CESI仿宋-GB2312"/>
                <w:b/>
                <w:i w:val="0"/>
                <w:color w:val="000000"/>
                <w:kern w:val="0"/>
                <w:sz w:val="24"/>
                <w:szCs w:val="24"/>
                <w:u w:val="none"/>
                <w:lang w:val="en-US" w:eastAsia="zh-CN" w:bidi="ar"/>
              </w:rPr>
              <w:t>基准编码</w:t>
            </w:r>
          </w:p>
        </w:tc>
        <w:tc>
          <w:tcPr>
            <w:tcW w:w="637" w:type="pct"/>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sz w:val="24"/>
                <w:szCs w:val="24"/>
                <w:u w:val="none"/>
              </w:rPr>
            </w:pPr>
            <w:r>
              <w:rPr>
                <w:rFonts w:hint="eastAsia" w:ascii="CESI仿宋-GB2312" w:hAnsi="CESI仿宋-GB2312" w:eastAsia="CESI仿宋-GB2312" w:cs="CESI仿宋-GB2312"/>
                <w:b/>
                <w:i w:val="0"/>
                <w:color w:val="000000"/>
                <w:kern w:val="0"/>
                <w:sz w:val="24"/>
                <w:szCs w:val="24"/>
                <w:u w:val="none"/>
                <w:lang w:val="en-US" w:eastAsia="zh-CN" w:bidi="ar"/>
              </w:rPr>
              <w:t>违法行为</w:t>
            </w:r>
            <w:r>
              <w:rPr>
                <w:rFonts w:hint="eastAsia" w:ascii="CESI仿宋-GB2312" w:hAnsi="CESI仿宋-GB2312" w:eastAsia="CESI仿宋-GB2312" w:cs="CESI仿宋-GB2312"/>
                <w:b/>
                <w:i w:val="0"/>
                <w:color w:val="000000"/>
                <w:kern w:val="0"/>
                <w:sz w:val="24"/>
                <w:szCs w:val="24"/>
                <w:u w:val="none"/>
                <w:lang w:val="en-US" w:eastAsia="zh-CN" w:bidi="ar"/>
              </w:rPr>
              <w:br w:type="textWrapping"/>
            </w:r>
            <w:r>
              <w:rPr>
                <w:rFonts w:hint="eastAsia" w:ascii="CESI仿宋-GB2312" w:hAnsi="CESI仿宋-GB2312" w:eastAsia="CESI仿宋-GB2312" w:cs="CESI仿宋-GB2312"/>
                <w:b/>
                <w:i w:val="0"/>
                <w:color w:val="000000"/>
                <w:kern w:val="0"/>
                <w:sz w:val="24"/>
                <w:szCs w:val="24"/>
                <w:u w:val="none"/>
                <w:lang w:val="en-US" w:eastAsia="zh-CN" w:bidi="ar"/>
              </w:rPr>
              <w:t>名称</w:t>
            </w:r>
          </w:p>
        </w:tc>
        <w:tc>
          <w:tcPr>
            <w:tcW w:w="896" w:type="pct"/>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sz w:val="24"/>
                <w:szCs w:val="24"/>
                <w:u w:val="none"/>
              </w:rPr>
            </w:pPr>
            <w:r>
              <w:rPr>
                <w:rFonts w:hint="eastAsia" w:ascii="CESI仿宋-GB2312" w:hAnsi="CESI仿宋-GB2312" w:eastAsia="CESI仿宋-GB2312" w:cs="CESI仿宋-GB2312"/>
                <w:b/>
                <w:i w:val="0"/>
                <w:color w:val="000000"/>
                <w:kern w:val="0"/>
                <w:sz w:val="24"/>
                <w:szCs w:val="24"/>
                <w:u w:val="none"/>
                <w:lang w:val="en-US" w:eastAsia="zh-CN" w:bidi="ar"/>
              </w:rPr>
              <w:t>法律依据</w:t>
            </w:r>
          </w:p>
        </w:tc>
        <w:tc>
          <w:tcPr>
            <w:tcW w:w="663" w:type="pct"/>
            <w:vMerge w:val="restart"/>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sz w:val="24"/>
                <w:szCs w:val="24"/>
                <w:u w:val="none"/>
              </w:rPr>
            </w:pPr>
            <w:r>
              <w:rPr>
                <w:rFonts w:hint="eastAsia" w:ascii="CESI仿宋-GB2312" w:hAnsi="CESI仿宋-GB2312" w:eastAsia="CESI仿宋-GB2312" w:cs="CESI仿宋-GB2312"/>
                <w:b/>
                <w:i w:val="0"/>
                <w:color w:val="000000"/>
                <w:kern w:val="0"/>
                <w:sz w:val="24"/>
                <w:szCs w:val="24"/>
                <w:u w:val="none"/>
                <w:lang w:val="en-US" w:eastAsia="zh-CN" w:bidi="ar"/>
              </w:rPr>
              <w:t>具体违法情节</w:t>
            </w:r>
          </w:p>
        </w:tc>
        <w:tc>
          <w:tcPr>
            <w:tcW w:w="1154" w:type="pct"/>
            <w:vMerge w:val="restart"/>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sz w:val="24"/>
                <w:szCs w:val="24"/>
                <w:u w:val="none"/>
              </w:rPr>
            </w:pPr>
            <w:r>
              <w:rPr>
                <w:rFonts w:hint="eastAsia" w:ascii="CESI仿宋-GB2312" w:hAnsi="CESI仿宋-GB2312" w:eastAsia="CESI仿宋-GB2312" w:cs="CESI仿宋-GB2312"/>
                <w:b/>
                <w:i w:val="0"/>
                <w:color w:val="000000"/>
                <w:kern w:val="0"/>
                <w:sz w:val="24"/>
                <w:szCs w:val="24"/>
                <w:u w:val="none"/>
                <w:lang w:val="en-US" w:eastAsia="zh-CN" w:bidi="ar"/>
              </w:rPr>
              <w:t>处罚裁量权基准</w:t>
            </w:r>
          </w:p>
        </w:tc>
        <w:tc>
          <w:tcPr>
            <w:tcW w:w="319" w:type="pct"/>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kern w:val="0"/>
                <w:sz w:val="24"/>
                <w:szCs w:val="24"/>
                <w:u w:val="none"/>
                <w:lang w:val="en-US" w:eastAsia="zh-CN" w:bidi="ar"/>
              </w:rPr>
            </w:pPr>
            <w:r>
              <w:rPr>
                <w:rFonts w:hint="eastAsia" w:ascii="CESI仿宋-GB2312" w:hAnsi="CESI仿宋-GB2312" w:eastAsia="CESI仿宋-GB2312" w:cs="CESI仿宋-GB2312"/>
                <w:b/>
                <w:i w:val="0"/>
                <w:color w:val="000000"/>
                <w:kern w:val="0"/>
                <w:sz w:val="24"/>
                <w:szCs w:val="24"/>
                <w:u w:val="none"/>
                <w:lang w:val="en-US" w:eastAsia="zh-CN" w:bidi="ar"/>
              </w:rPr>
              <w:t>违法</w:t>
            </w:r>
            <w:r>
              <w:rPr>
                <w:rFonts w:hint="eastAsia" w:ascii="CESI仿宋-GB2312" w:hAnsi="CESI仿宋-GB2312" w:eastAsia="CESI仿宋-GB2312" w:cs="CESI仿宋-GB2312"/>
                <w:b/>
                <w:i w:val="0"/>
                <w:color w:val="000000"/>
                <w:kern w:val="0"/>
                <w:sz w:val="24"/>
                <w:szCs w:val="24"/>
                <w:u w:val="none"/>
                <w:lang w:val="en-US" w:eastAsia="zh-CN" w:bidi="ar"/>
              </w:rPr>
              <w:br w:type="textWrapping"/>
            </w:r>
            <w:r>
              <w:rPr>
                <w:rFonts w:hint="eastAsia" w:ascii="CESI仿宋-GB2312" w:hAnsi="CESI仿宋-GB2312" w:eastAsia="CESI仿宋-GB2312" w:cs="CESI仿宋-GB2312"/>
                <w:b/>
                <w:i w:val="0"/>
                <w:color w:val="000000"/>
                <w:kern w:val="0"/>
                <w:sz w:val="24"/>
                <w:szCs w:val="24"/>
                <w:u w:val="none"/>
                <w:lang w:val="en-US" w:eastAsia="zh-CN" w:bidi="ar"/>
              </w:rPr>
              <w:t>行为</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sz w:val="24"/>
                <w:szCs w:val="24"/>
                <w:u w:val="none"/>
              </w:rPr>
            </w:pPr>
            <w:r>
              <w:rPr>
                <w:rFonts w:hint="eastAsia" w:ascii="CESI仿宋-GB2312" w:hAnsi="CESI仿宋-GB2312" w:eastAsia="CESI仿宋-GB2312" w:cs="CESI仿宋-GB2312"/>
                <w:b/>
                <w:i w:val="0"/>
                <w:color w:val="000000"/>
                <w:kern w:val="0"/>
                <w:sz w:val="24"/>
                <w:szCs w:val="24"/>
                <w:u w:val="none"/>
                <w:lang w:val="en-US" w:eastAsia="zh-CN" w:bidi="ar"/>
              </w:rPr>
              <w:t>分类</w:t>
            </w:r>
          </w:p>
        </w:tc>
        <w:tc>
          <w:tcPr>
            <w:tcW w:w="336" w:type="pct"/>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sz w:val="24"/>
                <w:szCs w:val="24"/>
                <w:u w:val="none"/>
              </w:rPr>
            </w:pPr>
            <w:r>
              <w:rPr>
                <w:rFonts w:hint="eastAsia" w:ascii="CESI仿宋-GB2312" w:hAnsi="CESI仿宋-GB2312" w:eastAsia="CESI仿宋-GB2312" w:cs="CESI仿宋-GB2312"/>
                <w:b/>
                <w:i w:val="0"/>
                <w:color w:val="000000"/>
                <w:kern w:val="0"/>
                <w:sz w:val="24"/>
                <w:szCs w:val="24"/>
                <w:u w:val="none"/>
                <w:lang w:val="en-US" w:eastAsia="zh-CN" w:bidi="ar"/>
              </w:rPr>
              <w:t>处罚</w:t>
            </w:r>
            <w:r>
              <w:rPr>
                <w:rFonts w:hint="eastAsia" w:ascii="CESI仿宋-GB2312" w:hAnsi="CESI仿宋-GB2312" w:eastAsia="CESI仿宋-GB2312" w:cs="CESI仿宋-GB2312"/>
                <w:b/>
                <w:i w:val="0"/>
                <w:color w:val="000000"/>
                <w:kern w:val="0"/>
                <w:sz w:val="24"/>
                <w:szCs w:val="24"/>
                <w:u w:val="none"/>
                <w:lang w:val="en-US" w:eastAsia="zh-CN" w:bidi="ar"/>
              </w:rPr>
              <w:br w:type="textWrapping"/>
            </w:r>
            <w:r>
              <w:rPr>
                <w:rFonts w:hint="eastAsia" w:ascii="CESI仿宋-GB2312" w:hAnsi="CESI仿宋-GB2312" w:eastAsia="CESI仿宋-GB2312" w:cs="CESI仿宋-GB2312"/>
                <w:b/>
                <w:i w:val="0"/>
                <w:color w:val="000000"/>
                <w:kern w:val="0"/>
                <w:sz w:val="24"/>
                <w:szCs w:val="24"/>
                <w:u w:val="none"/>
                <w:lang w:val="en-US" w:eastAsia="zh-CN" w:bidi="ar"/>
              </w:rPr>
              <w:t>公示</w:t>
            </w:r>
            <w:r>
              <w:rPr>
                <w:rFonts w:hint="eastAsia" w:ascii="CESI仿宋-GB2312" w:hAnsi="CESI仿宋-GB2312" w:eastAsia="CESI仿宋-GB2312" w:cs="CESI仿宋-GB2312"/>
                <w:b/>
                <w:i w:val="0"/>
                <w:color w:val="000000"/>
                <w:kern w:val="0"/>
                <w:sz w:val="24"/>
                <w:szCs w:val="24"/>
                <w:u w:val="none"/>
                <w:lang w:val="en-US" w:eastAsia="zh-CN" w:bidi="ar"/>
              </w:rPr>
              <w:br w:type="textWrapping"/>
            </w:r>
            <w:r>
              <w:rPr>
                <w:rFonts w:hint="eastAsia" w:ascii="CESI仿宋-GB2312" w:hAnsi="CESI仿宋-GB2312" w:eastAsia="CESI仿宋-GB2312" w:cs="CESI仿宋-GB2312"/>
                <w:b/>
                <w:i w:val="0"/>
                <w:color w:val="000000"/>
                <w:kern w:val="0"/>
                <w:sz w:val="24"/>
                <w:szCs w:val="24"/>
                <w:u w:val="none"/>
                <w:lang w:val="en-US" w:eastAsia="zh-CN" w:bidi="ar"/>
              </w:rPr>
              <w:t>期限</w:t>
            </w:r>
          </w:p>
        </w:tc>
        <w:tc>
          <w:tcPr>
            <w:tcW w:w="398" w:type="pct"/>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kern w:val="0"/>
                <w:sz w:val="24"/>
                <w:szCs w:val="24"/>
                <w:u w:val="none"/>
                <w:lang w:val="en-US" w:eastAsia="zh-CN" w:bidi="ar"/>
              </w:rPr>
            </w:pPr>
            <w:r>
              <w:rPr>
                <w:rFonts w:hint="eastAsia" w:ascii="CESI仿宋-GB2312" w:hAnsi="CESI仿宋-GB2312" w:eastAsia="CESI仿宋-GB2312" w:cs="CESI仿宋-GB2312"/>
                <w:b/>
                <w:i w:val="0"/>
                <w:color w:val="000000"/>
                <w:kern w:val="0"/>
                <w:sz w:val="24"/>
                <w:szCs w:val="24"/>
                <w:u w:val="none"/>
                <w:lang w:val="en-US" w:eastAsia="zh-CN" w:bidi="ar"/>
              </w:rPr>
              <w:t>可以申</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kern w:val="0"/>
                <w:sz w:val="24"/>
                <w:szCs w:val="24"/>
                <w:u w:val="none"/>
                <w:lang w:val="en-US" w:eastAsia="zh-CN" w:bidi="ar"/>
              </w:rPr>
            </w:pPr>
            <w:r>
              <w:rPr>
                <w:rFonts w:hint="eastAsia" w:ascii="CESI仿宋-GB2312" w:hAnsi="CESI仿宋-GB2312" w:eastAsia="CESI仿宋-GB2312" w:cs="CESI仿宋-GB2312"/>
                <w:b/>
                <w:i w:val="0"/>
                <w:color w:val="000000"/>
                <w:kern w:val="0"/>
                <w:sz w:val="24"/>
                <w:szCs w:val="24"/>
                <w:u w:val="none"/>
                <w:lang w:val="en-US" w:eastAsia="zh-CN" w:bidi="ar"/>
              </w:rPr>
              <w:t>请缩短</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sz w:val="24"/>
                <w:szCs w:val="24"/>
                <w:u w:val="none"/>
              </w:rPr>
            </w:pPr>
            <w:r>
              <w:rPr>
                <w:rFonts w:hint="eastAsia" w:ascii="CESI仿宋-GB2312" w:hAnsi="CESI仿宋-GB2312" w:eastAsia="CESI仿宋-GB2312" w:cs="CESI仿宋-GB2312"/>
                <w:b/>
                <w:i w:val="0"/>
                <w:color w:val="000000"/>
                <w:kern w:val="0"/>
                <w:sz w:val="24"/>
                <w:szCs w:val="24"/>
                <w:u w:val="none"/>
                <w:lang w:val="en-US" w:eastAsia="zh-CN" w:bidi="ar"/>
              </w:rPr>
              <w:t>公示期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blHeader/>
        </w:trPr>
        <w:tc>
          <w:tcPr>
            <w:tcW w:w="13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b/>
                <w:i w:val="0"/>
                <w:color w:val="000000"/>
                <w:sz w:val="21"/>
                <w:szCs w:val="21"/>
                <w:u w:val="none"/>
              </w:rPr>
            </w:pPr>
          </w:p>
        </w:tc>
        <w:tc>
          <w:tcPr>
            <w:tcW w:w="45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b/>
                <w:i w:val="0"/>
                <w:color w:val="000000"/>
                <w:sz w:val="21"/>
                <w:szCs w:val="21"/>
                <w:u w:val="none"/>
              </w:rPr>
            </w:pPr>
          </w:p>
        </w:tc>
        <w:tc>
          <w:tcPr>
            <w:tcW w:w="63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b/>
                <w:i w:val="0"/>
                <w:color w:val="000000"/>
                <w:sz w:val="21"/>
                <w:szCs w:val="21"/>
                <w:u w:val="none"/>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sz w:val="24"/>
                <w:szCs w:val="24"/>
                <w:u w:val="none"/>
              </w:rPr>
            </w:pPr>
            <w:r>
              <w:rPr>
                <w:rFonts w:hint="eastAsia" w:ascii="CESI仿宋-GB2312" w:hAnsi="CESI仿宋-GB2312" w:eastAsia="CESI仿宋-GB2312" w:cs="CESI仿宋-GB2312"/>
                <w:b/>
                <w:i w:val="0"/>
                <w:color w:val="000000"/>
                <w:kern w:val="0"/>
                <w:sz w:val="24"/>
                <w:szCs w:val="24"/>
                <w:u w:val="none"/>
                <w:lang w:val="en-US" w:eastAsia="zh-CN" w:bidi="ar"/>
              </w:rPr>
              <w:t>违法行为依据</w:t>
            </w:r>
          </w:p>
        </w:tc>
        <w:tc>
          <w:tcPr>
            <w:tcW w:w="4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i w:val="0"/>
                <w:color w:val="000000"/>
                <w:sz w:val="24"/>
                <w:szCs w:val="24"/>
                <w:u w:val="none"/>
              </w:rPr>
            </w:pPr>
            <w:r>
              <w:rPr>
                <w:rFonts w:hint="eastAsia" w:ascii="CESI仿宋-GB2312" w:hAnsi="CESI仿宋-GB2312" w:eastAsia="CESI仿宋-GB2312" w:cs="CESI仿宋-GB2312"/>
                <w:b/>
                <w:i w:val="0"/>
                <w:color w:val="000000"/>
                <w:kern w:val="0"/>
                <w:sz w:val="24"/>
                <w:szCs w:val="24"/>
                <w:u w:val="none"/>
                <w:lang w:val="en-US" w:eastAsia="zh-CN" w:bidi="ar"/>
              </w:rPr>
              <w:t>处罚依据</w:t>
            </w:r>
          </w:p>
        </w:tc>
        <w:tc>
          <w:tcPr>
            <w:tcW w:w="663" w:type="pct"/>
            <w:vMerge w:val="continue"/>
            <w:tcBorders>
              <w:top w:val="nil"/>
              <w:left w:val="single" w:color="000000" w:sz="4" w:space="0"/>
              <w:bottom w:val="single" w:color="000000" w:sz="4" w:space="0"/>
              <w:right w:val="single" w:color="000000" w:sz="4" w:space="0"/>
            </w:tcBorders>
            <w:noWrap/>
            <w:vAlign w:val="center"/>
          </w:tcPr>
          <w:p>
            <w:pPr>
              <w:jc w:val="center"/>
              <w:rPr>
                <w:rFonts w:hint="eastAsia" w:ascii="CESI仿宋-GB2312" w:hAnsi="CESI仿宋-GB2312" w:eastAsia="CESI仿宋-GB2312" w:cs="CESI仿宋-GB2312"/>
                <w:b/>
                <w:i w:val="0"/>
                <w:color w:val="000000"/>
                <w:sz w:val="21"/>
                <w:szCs w:val="21"/>
                <w:u w:val="none"/>
              </w:rPr>
            </w:pPr>
          </w:p>
        </w:tc>
        <w:tc>
          <w:tcPr>
            <w:tcW w:w="1154" w:type="pct"/>
            <w:vMerge w:val="continue"/>
            <w:tcBorders>
              <w:top w:val="nil"/>
              <w:left w:val="single" w:color="000000" w:sz="4" w:space="0"/>
              <w:bottom w:val="single" w:color="000000" w:sz="4" w:space="0"/>
              <w:right w:val="single" w:color="000000" w:sz="4" w:space="0"/>
            </w:tcBorders>
            <w:noWrap/>
            <w:vAlign w:val="center"/>
          </w:tcPr>
          <w:p>
            <w:pPr>
              <w:jc w:val="center"/>
              <w:rPr>
                <w:rFonts w:hint="eastAsia" w:ascii="CESI仿宋-GB2312" w:hAnsi="CESI仿宋-GB2312" w:eastAsia="CESI仿宋-GB2312" w:cs="CESI仿宋-GB2312"/>
                <w:b/>
                <w:i w:val="0"/>
                <w:color w:val="000000"/>
                <w:sz w:val="21"/>
                <w:szCs w:val="21"/>
                <w:u w:val="none"/>
              </w:rPr>
            </w:pPr>
          </w:p>
        </w:tc>
        <w:tc>
          <w:tcPr>
            <w:tcW w:w="319"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b/>
                <w:i w:val="0"/>
                <w:color w:val="000000"/>
                <w:sz w:val="21"/>
                <w:szCs w:val="21"/>
                <w:u w:val="none"/>
              </w:rPr>
            </w:pPr>
          </w:p>
        </w:tc>
        <w:tc>
          <w:tcPr>
            <w:tcW w:w="33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b/>
                <w:i w:val="0"/>
                <w:color w:val="000000"/>
                <w:sz w:val="21"/>
                <w:szCs w:val="21"/>
                <w:u w:val="none"/>
              </w:rPr>
            </w:pPr>
          </w:p>
        </w:tc>
        <w:tc>
          <w:tcPr>
            <w:tcW w:w="398"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6" w:hRule="atLeast"/>
        </w:trPr>
        <w:tc>
          <w:tcPr>
            <w:tcW w:w="1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C2600100</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A000</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供应补助粮食的企业向退耕还林者供应不符合国家质量标准的补助粮食的行为。</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《退耕还林条例》第三十九条第二款</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《退耕还林条例》第六十一条第一款</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供应补助粮食的企业向退耕还林者供应不符合国家质量标准的补助粮食的。</w:t>
            </w:r>
          </w:p>
        </w:tc>
        <w:tc>
          <w:tcPr>
            <w:tcW w:w="1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责令限期改正，可以处非法供应的补助粮食数量乘以标准口粮单价1倍以下的罚款。</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12个月</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1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C2600200</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B000</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供应补助粮食的企业将补助粮食折算成现金或者代金券支付的行为。</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《退耕还林条例》第四十一条</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《退耕还林条例》第六十一条第二款</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供应补助粮食的企业将补助粮食折算成现金或者代金券支付的。</w:t>
            </w:r>
          </w:p>
        </w:tc>
        <w:tc>
          <w:tcPr>
            <w:tcW w:w="1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rPr>
              <w:t>责令限期改正，</w:t>
            </w:r>
            <w:r>
              <w:rPr>
                <w:rFonts w:hint="eastAsia" w:ascii="宋体" w:hAnsi="宋体" w:eastAsia="宋体" w:cs="宋体"/>
                <w:i w:val="0"/>
                <w:color w:val="000000"/>
                <w:sz w:val="21"/>
                <w:szCs w:val="21"/>
                <w:u w:val="none"/>
                <w:lang w:eastAsia="zh-CN"/>
              </w:rPr>
              <w:t>可以</w:t>
            </w:r>
            <w:r>
              <w:rPr>
                <w:rFonts w:hint="eastAsia" w:ascii="宋体" w:hAnsi="宋体" w:eastAsia="宋体" w:cs="宋体"/>
                <w:i w:val="0"/>
                <w:color w:val="000000"/>
                <w:sz w:val="21"/>
                <w:szCs w:val="21"/>
                <w:u w:val="none"/>
              </w:rPr>
              <w:t>处折算现金额、代金券</w:t>
            </w:r>
            <w:r>
              <w:rPr>
                <w:rFonts w:hint="eastAsia" w:ascii="宋体" w:hAnsi="宋体" w:eastAsia="宋体" w:cs="宋体"/>
                <w:i w:val="0"/>
                <w:color w:val="000000"/>
                <w:sz w:val="21"/>
                <w:szCs w:val="21"/>
                <w:u w:val="none"/>
                <w:lang w:eastAsia="zh-CN"/>
              </w:rPr>
              <w:t>额</w:t>
            </w:r>
            <w:r>
              <w:rPr>
                <w:rFonts w:hint="eastAsia" w:ascii="宋体" w:hAnsi="宋体" w:eastAsia="宋体" w:cs="宋体"/>
                <w:i w:val="0"/>
                <w:color w:val="000000"/>
                <w:sz w:val="21"/>
                <w:szCs w:val="21"/>
                <w:u w:val="none"/>
              </w:rPr>
              <w:t>1倍以下的罚款</w:t>
            </w:r>
            <w:r>
              <w:rPr>
                <w:rFonts w:hint="eastAsia" w:ascii="宋体" w:hAnsi="宋体" w:eastAsia="宋体" w:cs="宋体"/>
                <w:i w:val="0"/>
                <w:color w:val="000000"/>
                <w:sz w:val="21"/>
                <w:szCs w:val="21"/>
                <w:u w:val="none"/>
                <w:lang w:eastAsia="zh-CN"/>
              </w:rPr>
              <w:t>。</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6个月</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3" w:hRule="atLeast"/>
        </w:trPr>
        <w:tc>
          <w:tcPr>
            <w:tcW w:w="136"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457"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C2600300</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B000</w:t>
            </w:r>
          </w:p>
        </w:tc>
        <w:tc>
          <w:tcPr>
            <w:tcW w:w="637"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供应补助粮食的企业回购补助粮食的行为。</w:t>
            </w:r>
          </w:p>
        </w:tc>
        <w:tc>
          <w:tcPr>
            <w:tcW w:w="44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《退耕还林条例》第四十一条</w:t>
            </w:r>
          </w:p>
        </w:tc>
        <w:tc>
          <w:tcPr>
            <w:tcW w:w="450"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《退耕还林条例》第六十一条第二款</w:t>
            </w:r>
          </w:p>
        </w:tc>
        <w:tc>
          <w:tcPr>
            <w:tcW w:w="66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供应补助粮食的企业回购补助粮食的。</w:t>
            </w:r>
          </w:p>
        </w:tc>
        <w:tc>
          <w:tcPr>
            <w:tcW w:w="1154"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责令限期改正，可以处回购粮食价款1倍以下的罚款。</w:t>
            </w:r>
          </w:p>
        </w:tc>
        <w:tc>
          <w:tcPr>
            <w:tcW w:w="319"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3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398"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ODk1ODg1NjliNjNiYzNmYzQyMTVlYmUyYjI4MTcifQ=="/>
  </w:docVars>
  <w:rsids>
    <w:rsidRoot w:val="00000000"/>
    <w:rsid w:val="10FA2DD1"/>
    <w:rsid w:val="289101EC"/>
    <w:rsid w:val="69064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576" w:lineRule="auto"/>
      <w:outlineLvl w:val="0"/>
    </w:pPr>
    <w:rPr>
      <w:rFonts w:ascii="Calibri" w:hAnsi="Calibri" w:eastAsia="宋体" w:cs="Times New Roman"/>
      <w:b/>
      <w:kern w:val="44"/>
      <w:sz w:val="32"/>
    </w:rPr>
  </w:style>
  <w:style w:type="paragraph" w:styleId="4">
    <w:name w:val="heading 2"/>
    <w:basedOn w:val="1"/>
    <w:next w:val="1"/>
    <w:semiHidden/>
    <w:unhideWhenUsed/>
    <w:qFormat/>
    <w:uiPriority w:val="0"/>
    <w:pPr>
      <w:keepNext/>
      <w:keepLines/>
      <w:spacing w:beforeLines="0" w:beforeAutospacing="0" w:afterLines="0" w:afterAutospacing="0" w:line="413" w:lineRule="auto"/>
      <w:ind w:firstLine="420" w:firstLineChars="200"/>
      <w:outlineLvl w:val="1"/>
    </w:pPr>
    <w:rPr>
      <w:rFonts w:ascii="Arial" w:hAnsi="Arial" w:eastAsia="黑体" w:cs="Times New Roman"/>
      <w:b/>
      <w:sz w:val="3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BodyText1I2"/>
    <w:semiHidden/>
    <w:qFormat/>
    <w:uiPriority w:val="0"/>
    <w:pPr>
      <w:spacing w:after="120"/>
      <w:ind w:left="420" w:leftChars="200" w:firstLine="420" w:firstLineChars="200"/>
      <w:jc w:val="both"/>
      <w:textAlignment w:val="baseline"/>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2023-11-02T01:51:00Z</dcterms:created>
  <dc:creator>lenovo</dc:creator>
  <cp:lastModifiedBy>学知言</cp:lastModifiedBy>
  <dcterms:modified xsi:type="dcterms:W3CDTF">2024-05-22T08:26:58Z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47B8FAABD1AF4814A249DECE118E9D7F_12</vt:lpwstr>
  </property>
</Properties>
</file>