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Style w:val="5"/>
          <w:rFonts w:hint="eastAsia" w:ascii="方正黑体_GBK" w:hAnsi="方正黑体_GBK" w:eastAsia="方正黑体_GBK" w:cs="方正黑体_GBK"/>
          <w:b w:val="0"/>
          <w:bCs/>
          <w:color w:val="auto"/>
          <w:sz w:val="28"/>
          <w:szCs w:val="28"/>
          <w:lang w:eastAsia="zh-CN"/>
        </w:rPr>
      </w:pPr>
      <w:r>
        <w:rPr>
          <w:rStyle w:val="5"/>
          <w:rFonts w:hint="eastAsia" w:ascii="方正黑体_GBK" w:hAnsi="方正黑体_GBK" w:eastAsia="方正黑体_GBK" w:cs="方正黑体_GBK"/>
          <w:b w:val="0"/>
          <w:bCs/>
          <w:color w:val="auto"/>
          <w:sz w:val="28"/>
          <w:szCs w:val="28"/>
          <w:lang w:eastAsia="zh-CN"/>
        </w:rPr>
        <w:t>附件</w:t>
      </w:r>
      <w:r>
        <w:rPr>
          <w:rStyle w:val="5"/>
          <w:rFonts w:hint="eastAsia" w:ascii="方正黑体_GBK" w:hAnsi="方正黑体_GBK" w:eastAsia="方正黑体_GBK" w:cs="方正黑体_GBK"/>
          <w:b w:val="0"/>
          <w:bCs/>
          <w:color w:val="auto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spacing w:line="68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shd w:val="clear" w:color="auto" w:fill="FFFFFF"/>
          <w:lang w:bidi="ar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shd w:val="clear" w:color="auto" w:fill="FFFFFF"/>
          <w:lang w:eastAsia="zh-CN" w:bidi="ar"/>
        </w:rPr>
        <w:t>东城区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shd w:val="clear" w:color="auto" w:fill="FFFFFF"/>
          <w:lang w:bidi="ar"/>
        </w:rPr>
        <w:t>商业秘密保护示范基地</w:t>
      </w:r>
    </w:p>
    <w:p>
      <w:pPr>
        <w:spacing w:line="68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shd w:val="clear" w:color="auto" w:fill="FFFFFF"/>
          <w:lang w:bidi="ar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shd w:val="clear" w:color="auto" w:fill="FFFFFF"/>
          <w:lang w:eastAsia="zh-CN" w:bidi="ar"/>
        </w:rPr>
        <w:t>培育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shd w:val="clear" w:color="auto" w:fill="FFFFFF"/>
          <w:lang w:bidi="ar"/>
        </w:rPr>
        <w:t>建设方案</w:t>
      </w:r>
    </w:p>
    <w:p>
      <w:pPr>
        <w:pStyle w:val="2"/>
        <w:rPr>
          <w:rFonts w:hint="eastAsia" w:eastAsia="方正小标宋简体"/>
          <w:color w:val="auto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shd w:val="clear" w:color="auto" w:fill="FFFFFF"/>
          <w:lang w:val="en-US" w:eastAsia="zh-CN" w:bidi="ar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加强商业秘密保护是强化反不正当竞争的重要任务，是强化知识产权保护的重要内容，对优化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首都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营商环境、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国际科技创新中心、推动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首都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经济高质量发展具有重要意义。为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贯彻落实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中共中央、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国务院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《知识产权强国建设纲要（2021—2035年）》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以及国家市场监督管理总局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《全国商业秘密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保护创新试点工作方案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》、北京市市场监督管理局《北京市商业秘密保护示范基地培育建设方案》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的相关要求，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持续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加强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  <w:t>东城区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商业秘密保护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，制定本方案。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以习近平新时代中国特色社会主义思想为指导，落实党中央国务院关于加强反不正当竞争执法、提升市场综合监管能力的要求，立足新发展阶段，完整、准确、全面贯彻新发展理念，牢牢把握首都城市战略定位，坚持首善标准，积极探索商业秘密有效保护方式，坚持因地制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开拓创新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以点带面，加大商业秘密保护力度，加快形成公平竞争的制度环境和市场化、法治化、国际化的营商环境。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工作目标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遵循政府统筹、企业自主、因地制宜、突出重点、凸显特色、鼓励创新的原则，在不干涉单位经营活动和内部管理的前提下，结合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东城区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实际，统筹规划，梯度推进，逐步完善示范基地建设模式、运行机制和评估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。打造一批示范引领作用突出、示范效果明显的标杆企业、园区或社会组织，建成完备的商业秘密保护体系。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培育对象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本方案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所称的商业秘密保护示范基地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（以下简称“示范基地”）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，是指市场监管部门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企业、科研院所、产业集聚园区、特色产业基地、特色小镇等单位或社会组织建设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商业秘密保护示范点和商业秘密保护示范区。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商业秘密保护示范点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（以下简称“示范点”）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应以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东城区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高精尖产业（先进制造业、软件和信息服务业、科技服务业）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为核心，兼顾其他产业，选取其中技术实力具有领先地位、商业秘密保护需求迫切、商业秘密保护意识强、商业秘密保护工作较为突出的单位作为培育对象。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both"/>
        <w:textAlignment w:val="auto"/>
        <w:rPr>
          <w:rFonts w:hint="eastAsia"/>
          <w:b w:val="0"/>
          <w:bCs w:val="0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商业秘密保护示范区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（以下简称“示范区”）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以指导、服务企业为抓手，聚焦高新技术产业园区、经济技术开发区、高新技术特色产业基地、科技企业孵化器、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留学人员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创业园等园区及产业集聚区，选取商业秘密保护工作基础较好的园区作为培育对象。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eastAsia="zh-CN"/>
        </w:rPr>
        <w:t>工作内容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（一）培育指导（2023年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月-2023年7月上旬）：结合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东城区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工作实际确定商业秘密保护工作方案，公开发布参选通知（通知中应明确区域评选标准和申报程序），对区域内企业和园区开展针对性辅导，切实做好孵化培育工作。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（二）自主申报（2023年7月上旬）：建设单位按申报要求和程序准备申报材料，并按时上报给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东城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区市场监管局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申报时间原则上截止至7月10日。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（三）审核推荐（2023年7月-8月中旬）：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东城区市场监督管理局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依据评选标准（详见附件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）择优推荐商业秘密保护示范点候选单位至少3个，示范区候选单位至少1个。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组织推荐单位（园区）按本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方案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要求进一步完善申报表（详见附件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）。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东城区市场监督管理局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将评选标准、总体推荐意见、推荐单位（园区）申报表等材料8月14日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提交市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市场监管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（四）组织评选（2023年8月中旬-9月）：市市场监管局汇总各区局推荐材料，并对材料进行书面审查评选，视情况进行实地走访、征求专家意见。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（五）公示认定（2023年10月）：确定商业秘密保护示范基地入选名单，并将拟选入示范基地名单在市局门户网站公示。经对外公示无异议的，由市市场监管局予以认定。</w:t>
      </w:r>
    </w:p>
    <w:p>
      <w:pPr>
        <w:pStyle w:val="2"/>
        <w:ind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（六）运行管理：示范基地公示后，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由东城区市场监管部门指导示范基地编写和落实年度工作计划，并按年度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开展示范基地评估考察工作。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市市场监管局结合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评估考察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结果推荐相应地区参与全国商业秘密保护创新试点评选。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eastAsia="zh-CN"/>
        </w:rPr>
        <w:t>五、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建设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eastAsia="zh-CN"/>
        </w:rPr>
        <w:t>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东城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区市场监管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部门应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指导培育对象建立以下工作机制和制度：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健全领导机构。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成立由主要负责人或其委托人牵头的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商业秘密保护工作领导机构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，负责示范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基地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的组织领导，保障示范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点、示范区的日常运行经费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和资源投入。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设立管理部门。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成立专门的管理部门或依托相关部门负责示范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点、示范区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的运行管理，提供独立或合署的办公场所，配置必要的办公设施，配备专（兼）职工作人员，保障工作开展。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制定管理制度。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研究制定示范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点、示范区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内部管理制度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。示范区应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指导所属企业或成员单位建立商业秘密保护管理制度、商业秘密泄露事件应急处置等工作制度。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（四）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编制年度计划。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落实管理制度要求，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研究制定示范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点、示范区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工作计划，明确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商业秘密保护相关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培训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宣传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工作。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示范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区应在计划中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确定所属单位受训比率、普法宣传次数、示范企业培育数量、建立商业秘密保护制度的比率等。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（五）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建立联络机制。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指定专人作为联络员，配合市场监管部门开展工作，定期交流示范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点、示范区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工作情况、存在问题、意见建议、典型案例等信息。</w:t>
      </w:r>
    </w:p>
    <w:p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eastAsia="zh-CN"/>
        </w:rPr>
        <w:t>六、职能分工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（一）公平竞争科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按照市市场监管局商业秘密保护工作部署，负责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东城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区商业秘密保护示范基地的统筹规划、培育建设、运行管理等工作。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（二）知识产权科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依托前期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知识产权保护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工作基础，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择优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提供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园区、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企业名单，配合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公平竞争科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开展示范基地评估考察工作。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北京市商业秘密保护示范基地（示范点）申报表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1600" w:firstLineChars="500"/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.北京市商业秘密保护示范基地（示范区）申报表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1600" w:firstLineChars="500"/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.北京市商业秘密保护示范点建设标准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1600" w:firstLineChars="500"/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.北京市商业秘密保护示范区建设标准</w:t>
      </w:r>
    </w:p>
    <w:p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DE5C17"/>
    <w:multiLevelType w:val="singleLevel"/>
    <w:tmpl w:val="F7DE5C1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31FC1"/>
    <w:rsid w:val="33E02CA2"/>
    <w:rsid w:val="5A93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2023-05-08T02:43:00Z</dcterms:created>
  <dc:creator>管理人员</dc:creator>
  <cp:lastModifiedBy>管理人员</cp:lastModifiedBy>
  <dcterms:modified xsi:type="dcterms:W3CDTF">2023-05-08T02:48:23Z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