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15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kern w:val="0"/>
          <w:sz w:val="44"/>
          <w:szCs w:val="44"/>
          <w:shd w:val="clear" w:color="auto" w:fill="FFFFFF"/>
        </w:rPr>
        <w:t>亦城优秀人才2022年度房租补贴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根据《北京经济技术开发区支持高精尖产业人才创新创业实施办法（试行）》（京开党〔2020〕92号）中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第七条“分层分类满足人才住房需求”，符合条件的亦城优秀人才可享受连续三年每年2.4万元房租补贴。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亦城优秀人才2022年度房租补贴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（一）优秀人才所在企业在经开区范围内依法注册、纳税、入统；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 经开区认定的2021年度亦城优秀人才可以申请；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（三）个人应全职在所在单位工作，签订2年以上劳动合同(聘用协议)，且每年在本单位实际工作时间一般应在6个月以上；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（四）申请人及家庭成员（配偶和未满十八周岁的子女）名下在亦庄新城范围内无住房、在北京市范围内无政策房。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符合条件的亦城优秀人才可享受2022年度2.4万元的房租补贴。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line="56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 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1.亦城优秀人才房租补贴申报表，在线填写；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</w:t>
      </w:r>
      <w:r>
        <w:rPr>
          <w:rFonts w:ascii="仿宋_GB2312" w:hAnsi="仿宋_GB2312" w:eastAsia="仿宋_GB2312" w:cs="仿宋_GB2312"/>
          <w:sz w:val="32"/>
          <w:szCs w:val="32"/>
        </w:rPr>
        <w:t>营业执照，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选取电子证照；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承诺书，下载模板填写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，签字、加盖公章，彩色扫描上传；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4.银行账户信息，下载模板填写，加盖公章，彩色扫描上传；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5.申报人及家庭成员有效身份证件（身份证或护照），原件彩色扫描上传；</w:t>
      </w:r>
    </w:p>
    <w:p>
      <w:pPr>
        <w:spacing w:line="560" w:lineRule="exact"/>
        <w:ind w:firstLine="640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6.申报人劳动合同或聘用合同，原件彩色扫描上传；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下载模板填写，签字，</w:t>
      </w:r>
      <w:r>
        <w:rPr>
          <w:rFonts w:hint="eastAsia" w:ascii="仿宋_GB2312" w:hAnsi="仿宋_GB2312" w:eastAsia="仿宋_GB2312" w:cs="仿宋_GB2312"/>
          <w:sz w:val="32"/>
          <w:szCs w:val="32"/>
        </w:rPr>
        <w:t>彩色扫描上传；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8.申报人个税证明材料，若选择社保以外的其他核查方式，请提交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区间为2022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在经开区缴纳个税的证明材料，原件彩色扫描上传。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9.其他材料，申报单位认为需要提交的其他相关材料，原件彩色扫描上传。</w:t>
      </w:r>
    </w:p>
    <w:p>
      <w:pPr>
        <w:spacing w:line="56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（二）打印纸质材料要求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收到提交银行账户信息短信通知后，在3个工作日内将从平台下载带水印的银行账户信息进行打印，加盖公章后，递交至受理窗口。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（一）网上申报：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（二）初审：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经开区政务服务中心对申报主体提交的材料进行完整性审查，材料不齐全或不符合要求的，告知申报主体补齐补正。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（三）审核：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工委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组织人事部会同相关部门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（四）线下受理：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审核通过的申报主体在规定时间内前往政务服务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中心行政服务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大厅“政策申报”窗口提交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银行账户信息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（五）确定扶持结果：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工委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组织人事部对审核通过的申报主体拟定兑现扶持奖励金额。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（六）公示：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工委组织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通过政策兑现综合服务平台对审核通过的申报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进行公示。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）资金拨付：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经相关会议研究决定,经开区财政审计局完成资金拨付工作。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经开区工委组织人事部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23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日至202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asci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经开区政务服务中心行政服务厅“政策申报”窗口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sz w:val="32"/>
          <w:szCs w:val="32"/>
        </w:rPr>
        <w:t>010-67857687；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010-67857878转4，工作日上午9:00-12：00，下午1：30-5：00。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经开区工委组织人事部，联系电话：87163911；67803290；67803130-8046；13031005638；15117920538。工作日上午9:00—12:00，下午2:00—6:00。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特别说明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（一）亦城优秀人才申请房租补贴所依托的申报主体需与备案、认定时的所在主体一致，如不一致，需提交两个主体具有关联关系的证明材料；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（二）从开始申报到整个兑现过程完毕，亦城优秀人才所在主体不得变更；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（三）对于首次申请房租补贴的亦城优秀人才，需核查人才、配偶及未成年子女在北京市的住房情况；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（四）对于已兑现2021年度房租补贴的亦城优秀人才，需承诺申报条件与上年度一致；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（五）证件号码务必填写正确，由于号码填写错误造成申报不成功的，自行承担后果；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六）如申报单位涉及申报的人数较多，需要多个经办人同时填报信息，可注册多个口令账号，然后使用一证通或电子营业执照登录“首都之窗-用户空间”授权注册的口令账号，即可使用口令账号登录平台，如有疑问可拨打技术支持电话67857638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七）亦庄新城范围包括北京经济技术开发区范围、综合配套服务区（旧宫地区、瀛海地区、亦庄镇地区）、台湖高端总部基地、光机电一体化基地、马驹桥镇区、物流基地、金桥科技产业基地和两块预留地，以及长子营、青云店、采育镇工业园。具体内容可查询《亦庄新城规划（国土空间规划）（2017年—2035年）》。申报表中“申请人及家庭成员在亦庄新城范围内是否有住房”需要参考上述范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812C4"/>
    <w:multiLevelType w:val="singleLevel"/>
    <w:tmpl w:val="F5E812C4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WZiYTFkNDAxYzQ4OGUzOTE5YjEwOWY0ZTY1MTYifQ=="/>
  </w:docVars>
  <w:rsids>
    <w:rsidRoot w:val="32787E0D"/>
    <w:rsid w:val="00231B76"/>
    <w:rsid w:val="00335CD2"/>
    <w:rsid w:val="00381A30"/>
    <w:rsid w:val="0040090C"/>
    <w:rsid w:val="004B4D9D"/>
    <w:rsid w:val="00740FB7"/>
    <w:rsid w:val="00782B1E"/>
    <w:rsid w:val="00872CA5"/>
    <w:rsid w:val="00894D02"/>
    <w:rsid w:val="00AD5185"/>
    <w:rsid w:val="00B56162"/>
    <w:rsid w:val="00B86616"/>
    <w:rsid w:val="00D70785"/>
    <w:rsid w:val="00EC596E"/>
    <w:rsid w:val="012D5DAE"/>
    <w:rsid w:val="16F00564"/>
    <w:rsid w:val="18E36E56"/>
    <w:rsid w:val="1A5F5769"/>
    <w:rsid w:val="1D096DC4"/>
    <w:rsid w:val="213421D8"/>
    <w:rsid w:val="215D321B"/>
    <w:rsid w:val="26DC145D"/>
    <w:rsid w:val="271A2A8A"/>
    <w:rsid w:val="28833F3B"/>
    <w:rsid w:val="2C9C1E8B"/>
    <w:rsid w:val="2DD95562"/>
    <w:rsid w:val="2DDB128C"/>
    <w:rsid w:val="32787E0D"/>
    <w:rsid w:val="33A36FDB"/>
    <w:rsid w:val="369E55CB"/>
    <w:rsid w:val="36E479C0"/>
    <w:rsid w:val="3BB229FC"/>
    <w:rsid w:val="3BDC6748"/>
    <w:rsid w:val="3C417FE5"/>
    <w:rsid w:val="3F30081B"/>
    <w:rsid w:val="40FA4F7A"/>
    <w:rsid w:val="42FF7DC9"/>
    <w:rsid w:val="437677AD"/>
    <w:rsid w:val="47507FFF"/>
    <w:rsid w:val="49C12A7C"/>
    <w:rsid w:val="4D821471"/>
    <w:rsid w:val="51D72082"/>
    <w:rsid w:val="53E374F9"/>
    <w:rsid w:val="56357F65"/>
    <w:rsid w:val="570914F8"/>
    <w:rsid w:val="5C204994"/>
    <w:rsid w:val="62DF74B4"/>
    <w:rsid w:val="66176BAA"/>
    <w:rsid w:val="683E2B59"/>
    <w:rsid w:val="723474EE"/>
    <w:rsid w:val="72551438"/>
    <w:rsid w:val="732D09A5"/>
    <w:rsid w:val="76C937F5"/>
    <w:rsid w:val="77DD6FC6"/>
    <w:rsid w:val="79812B6F"/>
    <w:rsid w:val="7B641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1783</Words>
  <Characters>1986</Characters>
  <Lines>15</Lines>
  <Paragraphs>4</Paragraphs>
  <TotalTime>2</TotalTime>
  <ScaleCrop>false</ScaleCrop>
  <LinksUpToDate>false</LinksUpToDate>
  <CharactersWithSpaces>1988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2022-03-14T02:23:00Z</dcterms:created>
  <dc:creator>Chaos</dc:creator>
  <cp:lastModifiedBy>二郎</cp:lastModifiedBy>
  <dcterms:modified xsi:type="dcterms:W3CDTF">2023-03-24T10:17:30Z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73CEDC5F7F9F4573A4829D30213199CF</vt:lpwstr>
  </property>
</Properties>
</file>