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bookmarkStart w:id="0" w:name="_GoBack"/>
      <w:bookmarkEnd w:id="0"/>
    </w:p>
    <w:p>
      <w:pPr>
        <w:pStyle w:val="2"/>
        <w:keepNext w:val="0"/>
        <w:keepLines w:val="0"/>
        <w:widowControl/>
        <w:shd w:val="clear" w:color="auto" w:fill="FFFFFF"/>
        <w:spacing w:before="0" w:after="0" w:line="560" w:lineRule="exact"/>
        <w:jc w:val="center"/>
        <w:rPr>
          <w:rFonts w:ascii="方正小标宋简体" w:hAnsi="方正小标宋简体" w:eastAsia="方正小标宋简体" w:cs="方正小标宋简体"/>
          <w:b w:val="0"/>
          <w:color w:val="333333"/>
          <w:shd w:val="clear" w:color="auto" w:fill="FFFFFF"/>
        </w:rPr>
      </w:pPr>
      <w:r>
        <w:rPr>
          <w:rFonts w:hint="eastAsia" w:ascii="方正小标宋简体" w:hAnsi="方正小标宋简体" w:eastAsia="方正小标宋简体" w:cs="方正小标宋简体"/>
          <w:b w:val="0"/>
          <w:color w:val="333333"/>
          <w:shd w:val="clear" w:color="auto" w:fill="FFFFFF"/>
        </w:rPr>
        <w:t>《北京市知识产权信息公共服务体系建设行动方案（2022-2024年）》介绍</w:t>
      </w:r>
    </w:p>
    <w:p/>
    <w:p>
      <w:pPr>
        <w:pStyle w:val="5"/>
        <w:spacing w:before="0" w:beforeAutospacing="0" w:after="0" w:afterAutospacing="0" w:line="560" w:lineRule="exact"/>
        <w:ind w:firstLine="567"/>
        <w:rPr>
          <w:rFonts w:ascii="黑体" w:hAnsi="黑体" w:eastAsia="黑体" w:cs="楷体_GB2312"/>
          <w:bCs/>
          <w:color w:val="333333"/>
          <w:sz w:val="32"/>
          <w:szCs w:val="32"/>
          <w:shd w:val="clear" w:color="auto" w:fill="FFFFFF"/>
        </w:rPr>
      </w:pPr>
      <w:r>
        <w:rPr>
          <w:rFonts w:hint="eastAsia" w:ascii="黑体" w:hAnsi="黑体" w:eastAsia="黑体" w:cs="楷体_GB2312"/>
          <w:bCs/>
          <w:color w:val="333333"/>
          <w:sz w:val="32"/>
          <w:szCs w:val="32"/>
          <w:shd w:val="clear" w:color="auto" w:fill="FFFFFF"/>
        </w:rPr>
        <w:t>一、出台背景意义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为深入贯彻落实《知识产权强国建设纲要（2021-2035年）》和《</w:t>
      </w:r>
      <w:r>
        <w:rPr>
          <w:rFonts w:ascii="仿宋_GB2312" w:eastAsia="仿宋_GB2312"/>
          <w:sz w:val="32"/>
          <w:szCs w:val="32"/>
        </w:rPr>
        <w:t>“</w:t>
      </w:r>
      <w:r>
        <w:rPr>
          <w:rFonts w:hint="eastAsia" w:ascii="仿宋_GB2312" w:eastAsia="仿宋_GB2312"/>
          <w:sz w:val="32"/>
          <w:szCs w:val="32"/>
        </w:rPr>
        <w:t>十四五</w:t>
      </w:r>
      <w:r>
        <w:rPr>
          <w:rFonts w:ascii="仿宋_GB2312" w:eastAsia="仿宋_GB2312"/>
          <w:sz w:val="32"/>
          <w:szCs w:val="32"/>
        </w:rPr>
        <w:t>”</w:t>
      </w:r>
      <w:r>
        <w:rPr>
          <w:rFonts w:hint="eastAsia" w:ascii="仿宋_GB2312" w:eastAsia="仿宋_GB2312"/>
          <w:sz w:val="32"/>
          <w:szCs w:val="32"/>
        </w:rPr>
        <w:t>国家知识产权保护和运用规划》关于建设便民利民的知识产权公共服务体系的决策部署，结合我市“十四五”时期知识产权发展规划有关任务安排，就</w:t>
      </w:r>
      <w:r>
        <w:rPr>
          <w:rFonts w:ascii="仿宋_GB2312" w:eastAsia="仿宋_GB2312"/>
          <w:sz w:val="32"/>
          <w:szCs w:val="32"/>
        </w:rPr>
        <w:t>进一步加强知识产权信息</w:t>
      </w:r>
      <w:r>
        <w:rPr>
          <w:rFonts w:hint="eastAsia" w:ascii="仿宋_GB2312" w:eastAsia="仿宋_GB2312"/>
          <w:sz w:val="32"/>
          <w:szCs w:val="32"/>
        </w:rPr>
        <w:t>公共</w:t>
      </w:r>
      <w:r>
        <w:rPr>
          <w:rFonts w:ascii="仿宋_GB2312" w:eastAsia="仿宋_GB2312"/>
          <w:sz w:val="32"/>
          <w:szCs w:val="32"/>
        </w:rPr>
        <w:t>服务</w:t>
      </w:r>
      <w:r>
        <w:rPr>
          <w:rFonts w:hint="eastAsia" w:ascii="仿宋_GB2312" w:eastAsia="仿宋_GB2312"/>
          <w:sz w:val="32"/>
          <w:szCs w:val="32"/>
        </w:rPr>
        <w:t>体系建设，制定《北京市知识产权信息公共服务体系建设行动方案（2022-2024年）》</w:t>
      </w:r>
      <w:r>
        <w:rPr>
          <w:rFonts w:hint="eastAsia" w:ascii="仿宋_GB2312" w:eastAsia="仿宋_GB2312"/>
          <w:color w:val="000000" w:themeColor="text1"/>
          <w:sz w:val="32"/>
          <w:szCs w:val="32"/>
          <w14:textFill>
            <w14:solidFill>
              <w14:schemeClr w14:val="tx1"/>
            </w14:solidFill>
          </w14:textFill>
        </w:rPr>
        <w:t>。</w:t>
      </w:r>
    </w:p>
    <w:p>
      <w:pPr>
        <w:pStyle w:val="5"/>
        <w:spacing w:before="0" w:beforeAutospacing="0" w:after="0" w:afterAutospacing="0" w:line="560" w:lineRule="exact"/>
        <w:ind w:firstLine="567"/>
        <w:rPr>
          <w:rFonts w:ascii="黑体" w:hAnsi="黑体" w:eastAsia="黑体" w:cs="楷体_GB2312"/>
          <w:bCs/>
          <w:color w:val="333333"/>
          <w:sz w:val="32"/>
          <w:szCs w:val="32"/>
          <w:shd w:val="clear" w:color="auto" w:fill="FFFFFF"/>
        </w:rPr>
      </w:pPr>
      <w:r>
        <w:rPr>
          <w:rFonts w:hint="eastAsia" w:ascii="黑体" w:hAnsi="黑体" w:eastAsia="黑体" w:cs="楷体_GB2312"/>
          <w:bCs/>
          <w:color w:val="333333"/>
          <w:sz w:val="32"/>
          <w:szCs w:val="32"/>
          <w:shd w:val="clear" w:color="auto" w:fill="FFFFFF"/>
        </w:rPr>
        <w:t>二、主要内容</w:t>
      </w:r>
    </w:p>
    <w:p>
      <w:pPr>
        <w:pStyle w:val="2"/>
        <w:spacing w:before="0" w:after="0" w:line="560" w:lineRule="exact"/>
        <w:ind w:firstLine="640" w:firstLineChars="200"/>
        <w:rPr>
          <w:rFonts w:ascii="黑体" w:hAnsi="黑体" w:eastAsia="黑体"/>
          <w:b w:val="0"/>
          <w:sz w:val="32"/>
          <w:szCs w:val="32"/>
        </w:rPr>
      </w:pPr>
      <w:r>
        <w:rPr>
          <w:rFonts w:hint="eastAsia" w:ascii="仿宋_GB2312" w:hAnsi="仿宋" w:eastAsia="仿宋_GB2312" w:cs="宋体"/>
          <w:b w:val="0"/>
          <w:bCs w:val="0"/>
          <w:kern w:val="2"/>
          <w:sz w:val="32"/>
          <w:szCs w:val="32"/>
        </w:rPr>
        <w:t>《行动方案》分</w:t>
      </w:r>
      <w:r>
        <w:rPr>
          <w:rFonts w:hint="eastAsia" w:ascii="仿宋_GB2312" w:eastAsia="仿宋_GB2312"/>
          <w:b w:val="0"/>
          <w:sz w:val="32"/>
          <w:szCs w:val="32"/>
        </w:rPr>
        <w:t>为指导思想、主要</w:t>
      </w:r>
      <w:r>
        <w:rPr>
          <w:rFonts w:ascii="仿宋_GB2312" w:eastAsia="仿宋_GB2312"/>
          <w:b w:val="0"/>
          <w:sz w:val="32"/>
          <w:szCs w:val="32"/>
        </w:rPr>
        <w:t>目标、</w:t>
      </w:r>
      <w:r>
        <w:rPr>
          <w:rFonts w:hint="eastAsia" w:ascii="仿宋_GB2312" w:eastAsia="仿宋_GB2312"/>
          <w:b w:val="0"/>
          <w:sz w:val="32"/>
          <w:szCs w:val="32"/>
        </w:rPr>
        <w:t>重点任务和保障措施四大部分。</w:t>
      </w:r>
    </w:p>
    <w:p>
      <w:pPr>
        <w:pStyle w:val="5"/>
        <w:spacing w:before="0" w:beforeAutospacing="0" w:after="0" w:afterAutospacing="0" w:line="560" w:lineRule="exact"/>
        <w:ind w:firstLine="567"/>
        <w:rPr>
          <w:rFonts w:ascii="楷体_GB2312" w:hAnsi="楷体_GB2312" w:eastAsia="楷体_GB2312" w:cs="楷体_GB2312"/>
          <w:b/>
          <w:bCs/>
          <w:sz w:val="32"/>
          <w:szCs w:val="32"/>
        </w:rPr>
      </w:pPr>
      <w:r>
        <w:rPr>
          <w:rFonts w:hint="eastAsia" w:ascii="楷体_GB2312" w:hAnsi="楷体_GB2312" w:eastAsia="楷体_GB2312" w:cs="楷体_GB2312"/>
          <w:b/>
          <w:bCs/>
          <w:color w:val="333333"/>
          <w:sz w:val="32"/>
          <w:szCs w:val="32"/>
          <w:shd w:val="clear" w:color="auto" w:fill="FFFFFF"/>
        </w:rPr>
        <w:t>（一）指导思想</w:t>
      </w:r>
    </w:p>
    <w:p>
      <w:pPr>
        <w:pStyle w:val="5"/>
        <w:spacing w:line="560" w:lineRule="exact"/>
        <w:ind w:firstLine="567"/>
        <w:rPr>
          <w:rFonts w:ascii="仿宋_GB2312" w:hAnsi="仿宋" w:eastAsia="仿宋_GB2312"/>
          <w:sz w:val="32"/>
          <w:szCs w:val="32"/>
        </w:rPr>
      </w:pPr>
      <w:r>
        <w:rPr>
          <w:rFonts w:hint="eastAsia" w:ascii="仿宋_GB2312" w:hAnsi="仿宋" w:eastAsia="仿宋_GB2312"/>
          <w:sz w:val="32"/>
          <w:szCs w:val="32"/>
        </w:rPr>
        <w:t>以习近平新时代中国特色社会主义思想为指导，全面贯彻党的十九大及十九届历次全会精神,深入落实党中央、国务院和北京市委、市政府关于知识产权工作的决策部署，按照国家知识产权局关于新形势下加快建设知识产权信息公共服务体系的工作要求，以完善知识产权信息公共服务基础建设、提升知识产权信息公共服务效能为工作主线，构建专业、便利、规范的知识产权信息公共服务体系，营造更有活力、更加开放、更加有序的知识产权信息服务环境，充分发挥知识产权信息对创新发展的促进和保护作用，为构建首都新发展格局、推进高质量发展提供支撑。</w:t>
      </w:r>
    </w:p>
    <w:p>
      <w:pPr>
        <w:pStyle w:val="5"/>
        <w:spacing w:before="0" w:beforeAutospacing="0" w:after="0" w:afterAutospacing="0" w:line="560" w:lineRule="exact"/>
        <w:ind w:firstLine="567"/>
        <w:rPr>
          <w:rFonts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（二）主要目标</w:t>
      </w:r>
    </w:p>
    <w:p>
      <w:pPr>
        <w:pStyle w:val="5"/>
        <w:spacing w:line="560" w:lineRule="exact"/>
        <w:ind w:firstLine="567"/>
        <w:rPr>
          <w:rFonts w:ascii="仿宋_GB2312" w:hAnsi="Calibri" w:eastAsia="仿宋_GB2312" w:cs="Times New Roman"/>
          <w:sz w:val="32"/>
          <w:szCs w:val="32"/>
        </w:rPr>
      </w:pPr>
      <w:r>
        <w:rPr>
          <w:rFonts w:hint="eastAsia" w:ascii="仿宋_GB2312" w:hAnsi="Calibri" w:eastAsia="仿宋_GB2312" w:cs="Times New Roman"/>
          <w:sz w:val="32"/>
          <w:szCs w:val="32"/>
        </w:rPr>
        <w:t>到2024年，建成服务基础更加完善、服务内容更加丰富、服务供给更加便利、服务环境更加优化的知识产权信息公共服务体系，创新主体和社会公众的知识产权信息服务需求得到充分满足，知识产权信息公共服务满意度进一步提升，助力北京知识产权强国示范城市和国际科技创新中心建设。</w:t>
      </w:r>
    </w:p>
    <w:p>
      <w:pPr>
        <w:pStyle w:val="5"/>
        <w:spacing w:before="0" w:beforeAutospacing="0" w:after="0" w:afterAutospacing="0" w:line="560" w:lineRule="exact"/>
        <w:ind w:firstLine="567"/>
        <w:rPr>
          <w:rFonts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（三）重点任务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包括四个方面</w:t>
      </w:r>
      <w:r>
        <w:rPr>
          <w:rFonts w:ascii="仿宋_GB2312" w:eastAsia="仿宋_GB2312"/>
          <w:sz w:val="32"/>
          <w:szCs w:val="32"/>
        </w:rPr>
        <w:t>十二</w:t>
      </w:r>
      <w:r>
        <w:rPr>
          <w:rFonts w:hint="eastAsia" w:ascii="仿宋_GB2312" w:eastAsia="仿宋_GB2312"/>
          <w:sz w:val="32"/>
          <w:szCs w:val="32"/>
        </w:rPr>
        <w:t>项内容：</w:t>
      </w:r>
    </w:p>
    <w:p>
      <w:pPr>
        <w:ind w:firstLine="640" w:firstLineChars="200"/>
        <w:rPr>
          <w:rFonts w:ascii="仿宋_GB2312" w:eastAsia="仿宋_GB2312"/>
          <w:sz w:val="32"/>
          <w:szCs w:val="32"/>
        </w:rPr>
      </w:pPr>
      <w:r>
        <w:rPr>
          <w:rFonts w:hint="eastAsia" w:ascii="仿宋_GB2312" w:eastAsia="仿宋_GB2312"/>
          <w:sz w:val="32"/>
          <w:szCs w:val="32"/>
        </w:rPr>
        <w:t>一是夯实知识产权</w:t>
      </w:r>
      <w:r>
        <w:rPr>
          <w:rFonts w:ascii="仿宋_GB2312" w:eastAsia="仿宋_GB2312"/>
          <w:sz w:val="32"/>
          <w:szCs w:val="32"/>
        </w:rPr>
        <w:t>信息公共服务基础</w:t>
      </w:r>
      <w:r>
        <w:rPr>
          <w:rFonts w:hint="eastAsia" w:ascii="仿宋_GB2312" w:eastAsia="仿宋_GB2312"/>
          <w:sz w:val="32"/>
          <w:szCs w:val="32"/>
        </w:rPr>
        <w:t>。</w:t>
      </w:r>
      <w:r>
        <w:rPr>
          <w:rFonts w:ascii="仿宋_GB2312" w:eastAsia="仿宋_GB2312"/>
          <w:sz w:val="32"/>
          <w:szCs w:val="32"/>
        </w:rPr>
        <w:t>主要</w:t>
      </w:r>
      <w:r>
        <w:rPr>
          <w:rFonts w:hint="eastAsia" w:ascii="仿宋_GB2312" w:eastAsia="仿宋_GB2312"/>
          <w:sz w:val="32"/>
          <w:szCs w:val="32"/>
        </w:rPr>
        <w:t>包括</w:t>
      </w:r>
      <w:r>
        <w:rPr>
          <w:rFonts w:ascii="仿宋_GB2312" w:eastAsia="仿宋_GB2312"/>
          <w:sz w:val="32"/>
          <w:szCs w:val="32"/>
        </w:rPr>
        <w:t>：</w:t>
      </w:r>
      <w:r>
        <w:rPr>
          <w:rFonts w:hint="eastAsia" w:ascii="仿宋_GB2312" w:eastAsia="仿宋_GB2312"/>
          <w:sz w:val="32"/>
          <w:szCs w:val="32"/>
        </w:rPr>
        <w:t>完善知识产权信息</w:t>
      </w:r>
      <w:r>
        <w:rPr>
          <w:rFonts w:ascii="仿宋_GB2312" w:eastAsia="仿宋_GB2312"/>
          <w:sz w:val="32"/>
          <w:szCs w:val="32"/>
        </w:rPr>
        <w:t>公共服务运行机制</w:t>
      </w:r>
      <w:r>
        <w:rPr>
          <w:rFonts w:hint="eastAsia" w:ascii="仿宋_GB2312" w:eastAsia="仿宋_GB2312"/>
          <w:sz w:val="32"/>
          <w:szCs w:val="32"/>
        </w:rPr>
        <w:t>，加强北京市知识产权公共</w:t>
      </w:r>
      <w:r>
        <w:rPr>
          <w:rFonts w:ascii="仿宋_GB2312" w:eastAsia="仿宋_GB2312"/>
          <w:sz w:val="32"/>
          <w:szCs w:val="32"/>
        </w:rPr>
        <w:t>信息</w:t>
      </w:r>
      <w:r>
        <w:rPr>
          <w:rFonts w:hint="eastAsia" w:ascii="仿宋_GB2312" w:eastAsia="仿宋_GB2312"/>
          <w:sz w:val="32"/>
          <w:szCs w:val="32"/>
        </w:rPr>
        <w:t>服务平台建设，拓展知识产权信息公共服务网络</w:t>
      </w:r>
      <w:r>
        <w:rPr>
          <w:rFonts w:ascii="仿宋_GB2312" w:eastAsia="仿宋_GB2312"/>
          <w:sz w:val="32"/>
          <w:szCs w:val="32"/>
        </w:rPr>
        <w:t>布局</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二是丰富</w:t>
      </w:r>
      <w:r>
        <w:rPr>
          <w:rFonts w:ascii="仿宋_GB2312" w:eastAsia="仿宋_GB2312"/>
          <w:sz w:val="32"/>
          <w:szCs w:val="32"/>
        </w:rPr>
        <w:t>知识产权信息</w:t>
      </w:r>
      <w:r>
        <w:rPr>
          <w:rFonts w:hint="eastAsia" w:ascii="仿宋_GB2312" w:eastAsia="仿宋_GB2312"/>
          <w:sz w:val="32"/>
          <w:szCs w:val="32"/>
        </w:rPr>
        <w:t>公共</w:t>
      </w:r>
      <w:r>
        <w:rPr>
          <w:rFonts w:ascii="仿宋_GB2312" w:eastAsia="仿宋_GB2312"/>
          <w:sz w:val="32"/>
          <w:szCs w:val="32"/>
        </w:rPr>
        <w:t>服务产品</w:t>
      </w:r>
      <w:r>
        <w:rPr>
          <w:rFonts w:hint="eastAsia" w:ascii="仿宋_GB2312" w:eastAsia="仿宋_GB2312"/>
          <w:sz w:val="32"/>
          <w:szCs w:val="32"/>
        </w:rPr>
        <w:t>和供给。</w:t>
      </w:r>
      <w:r>
        <w:rPr>
          <w:rFonts w:ascii="仿宋_GB2312" w:eastAsia="仿宋_GB2312"/>
          <w:sz w:val="32"/>
          <w:szCs w:val="32"/>
        </w:rPr>
        <w:t>主要</w:t>
      </w:r>
      <w:r>
        <w:rPr>
          <w:rFonts w:hint="eastAsia" w:ascii="仿宋_GB2312" w:eastAsia="仿宋_GB2312"/>
          <w:sz w:val="32"/>
          <w:szCs w:val="32"/>
        </w:rPr>
        <w:t>包括</w:t>
      </w:r>
      <w:r>
        <w:rPr>
          <w:rFonts w:ascii="仿宋_GB2312" w:eastAsia="仿宋_GB2312"/>
          <w:sz w:val="32"/>
          <w:szCs w:val="32"/>
        </w:rPr>
        <w:t>：</w:t>
      </w:r>
      <w:r>
        <w:rPr>
          <w:rFonts w:hint="eastAsia" w:ascii="仿宋_GB2312" w:eastAsia="仿宋_GB2312"/>
          <w:sz w:val="32"/>
          <w:szCs w:val="32"/>
        </w:rPr>
        <w:t>持续加大知识产权</w:t>
      </w:r>
      <w:r>
        <w:rPr>
          <w:rFonts w:ascii="仿宋_GB2312" w:eastAsia="仿宋_GB2312"/>
          <w:sz w:val="32"/>
          <w:szCs w:val="32"/>
        </w:rPr>
        <w:t>信息</w:t>
      </w:r>
      <w:r>
        <w:rPr>
          <w:rFonts w:hint="eastAsia" w:ascii="仿宋_GB2312" w:eastAsia="仿宋_GB2312"/>
          <w:sz w:val="32"/>
          <w:szCs w:val="32"/>
        </w:rPr>
        <w:t>基础</w:t>
      </w:r>
      <w:r>
        <w:rPr>
          <w:rFonts w:ascii="仿宋_GB2312" w:eastAsia="仿宋_GB2312"/>
          <w:sz w:val="32"/>
          <w:szCs w:val="32"/>
        </w:rPr>
        <w:t>服务</w:t>
      </w:r>
      <w:r>
        <w:rPr>
          <w:rFonts w:hint="eastAsia" w:ascii="仿宋_GB2312" w:eastAsia="仿宋_GB2312"/>
          <w:sz w:val="32"/>
          <w:szCs w:val="32"/>
        </w:rPr>
        <w:t>工作</w:t>
      </w:r>
      <w:r>
        <w:rPr>
          <w:rFonts w:ascii="仿宋_GB2312" w:eastAsia="仿宋_GB2312"/>
          <w:sz w:val="32"/>
          <w:szCs w:val="32"/>
        </w:rPr>
        <w:t>力度</w:t>
      </w:r>
      <w:r>
        <w:rPr>
          <w:rFonts w:hint="eastAsia" w:ascii="仿宋_GB2312" w:eastAsia="仿宋_GB2312"/>
          <w:sz w:val="32"/>
          <w:szCs w:val="32"/>
        </w:rPr>
        <w:t>，</w:t>
      </w:r>
      <w:r>
        <w:rPr>
          <w:rFonts w:ascii="仿宋_GB2312" w:eastAsia="仿宋_GB2312"/>
          <w:sz w:val="32"/>
          <w:szCs w:val="32"/>
        </w:rPr>
        <w:t>构建多</w:t>
      </w:r>
      <w:r>
        <w:rPr>
          <w:rFonts w:hint="eastAsia" w:ascii="仿宋_GB2312" w:eastAsia="仿宋_GB2312"/>
          <w:sz w:val="32"/>
          <w:szCs w:val="32"/>
        </w:rPr>
        <w:t>层次</w:t>
      </w:r>
      <w:r>
        <w:rPr>
          <w:rFonts w:ascii="仿宋_GB2312" w:eastAsia="仿宋_GB2312"/>
          <w:sz w:val="32"/>
          <w:szCs w:val="32"/>
        </w:rPr>
        <w:t>知识产权信息服务产品</w:t>
      </w:r>
      <w:r>
        <w:rPr>
          <w:rFonts w:hint="eastAsia" w:ascii="仿宋_GB2312" w:eastAsia="仿宋_GB2312"/>
          <w:sz w:val="32"/>
          <w:szCs w:val="32"/>
        </w:rPr>
        <w:t>体系，知识产权</w:t>
      </w:r>
      <w:r>
        <w:rPr>
          <w:rFonts w:ascii="仿宋_GB2312" w:eastAsia="仿宋_GB2312"/>
          <w:sz w:val="32"/>
          <w:szCs w:val="32"/>
        </w:rPr>
        <w:t>信息服务</w:t>
      </w:r>
      <w:r>
        <w:rPr>
          <w:rFonts w:hint="eastAsia" w:ascii="仿宋_GB2312" w:eastAsia="仿宋_GB2312"/>
          <w:sz w:val="32"/>
          <w:szCs w:val="32"/>
        </w:rPr>
        <w:t>助力金融</w:t>
      </w:r>
      <w:r>
        <w:rPr>
          <w:rFonts w:ascii="仿宋_GB2312" w:eastAsia="仿宋_GB2312"/>
          <w:sz w:val="32"/>
          <w:szCs w:val="32"/>
        </w:rPr>
        <w:t>创新</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三是提升</w:t>
      </w:r>
      <w:r>
        <w:rPr>
          <w:rFonts w:ascii="仿宋_GB2312" w:eastAsia="仿宋_GB2312"/>
          <w:sz w:val="32"/>
          <w:szCs w:val="32"/>
        </w:rPr>
        <w:t>知识产权信息服务能力</w:t>
      </w:r>
      <w:r>
        <w:rPr>
          <w:rFonts w:hint="eastAsia" w:ascii="仿宋_GB2312" w:eastAsia="仿宋_GB2312"/>
          <w:sz w:val="32"/>
          <w:szCs w:val="32"/>
        </w:rPr>
        <w:t>和</w:t>
      </w:r>
      <w:r>
        <w:rPr>
          <w:rFonts w:ascii="仿宋_GB2312" w:eastAsia="仿宋_GB2312"/>
          <w:sz w:val="32"/>
          <w:szCs w:val="32"/>
        </w:rPr>
        <w:t>水平</w:t>
      </w:r>
      <w:r>
        <w:rPr>
          <w:rFonts w:hint="eastAsia" w:ascii="仿宋_GB2312" w:eastAsia="仿宋_GB2312"/>
          <w:sz w:val="32"/>
          <w:szCs w:val="32"/>
        </w:rPr>
        <w:t>。</w:t>
      </w:r>
      <w:r>
        <w:rPr>
          <w:rFonts w:ascii="仿宋_GB2312" w:eastAsia="仿宋_GB2312"/>
          <w:sz w:val="32"/>
          <w:szCs w:val="32"/>
        </w:rPr>
        <w:t>主要</w:t>
      </w:r>
      <w:r>
        <w:rPr>
          <w:rFonts w:hint="eastAsia" w:ascii="仿宋_GB2312" w:eastAsia="仿宋_GB2312"/>
          <w:sz w:val="32"/>
          <w:szCs w:val="32"/>
        </w:rPr>
        <w:t>包括</w:t>
      </w:r>
      <w:r>
        <w:rPr>
          <w:rFonts w:ascii="仿宋_GB2312" w:eastAsia="仿宋_GB2312"/>
          <w:sz w:val="32"/>
          <w:szCs w:val="32"/>
        </w:rPr>
        <w:t>：</w:t>
      </w:r>
      <w:r>
        <w:rPr>
          <w:rFonts w:hint="eastAsia" w:ascii="仿宋_GB2312" w:eastAsia="仿宋_GB2312"/>
          <w:sz w:val="32"/>
          <w:szCs w:val="32"/>
        </w:rPr>
        <w:t>提升知识产权信息公共</w:t>
      </w:r>
      <w:r>
        <w:rPr>
          <w:rFonts w:ascii="仿宋_GB2312" w:eastAsia="仿宋_GB2312"/>
          <w:sz w:val="32"/>
          <w:szCs w:val="32"/>
        </w:rPr>
        <w:t>服务</w:t>
      </w:r>
      <w:r>
        <w:rPr>
          <w:rFonts w:hint="eastAsia" w:ascii="仿宋_GB2312" w:eastAsia="仿宋_GB2312"/>
          <w:sz w:val="32"/>
          <w:szCs w:val="32"/>
        </w:rPr>
        <w:t>效能，提升</w:t>
      </w:r>
      <w:r>
        <w:rPr>
          <w:rFonts w:ascii="仿宋_GB2312" w:eastAsia="仿宋_GB2312"/>
          <w:sz w:val="32"/>
          <w:szCs w:val="32"/>
        </w:rPr>
        <w:t>知识产权信息</w:t>
      </w:r>
      <w:r>
        <w:rPr>
          <w:rFonts w:hint="eastAsia" w:ascii="仿宋_GB2312" w:eastAsia="仿宋_GB2312"/>
          <w:sz w:val="32"/>
          <w:szCs w:val="32"/>
        </w:rPr>
        <w:t>公共</w:t>
      </w:r>
      <w:r>
        <w:rPr>
          <w:rFonts w:ascii="仿宋_GB2312" w:eastAsia="仿宋_GB2312"/>
          <w:sz w:val="32"/>
          <w:szCs w:val="32"/>
        </w:rPr>
        <w:t>服务</w:t>
      </w:r>
      <w:r>
        <w:rPr>
          <w:rFonts w:hint="eastAsia" w:ascii="仿宋_GB2312" w:eastAsia="仿宋_GB2312"/>
          <w:sz w:val="32"/>
          <w:szCs w:val="32"/>
        </w:rPr>
        <w:t>便民水平，</w:t>
      </w:r>
    </w:p>
    <w:p>
      <w:pPr>
        <w:rPr>
          <w:rFonts w:ascii="仿宋_GB2312" w:eastAsia="仿宋_GB2312"/>
          <w:sz w:val="32"/>
          <w:szCs w:val="32"/>
        </w:rPr>
      </w:pPr>
      <w:r>
        <w:rPr>
          <w:rFonts w:hint="eastAsia" w:ascii="仿宋_GB2312" w:eastAsia="仿宋_GB2312"/>
          <w:sz w:val="32"/>
          <w:szCs w:val="32"/>
        </w:rPr>
        <w:t>加强</w:t>
      </w:r>
      <w:r>
        <w:rPr>
          <w:rFonts w:ascii="仿宋_GB2312" w:eastAsia="仿宋_GB2312"/>
          <w:sz w:val="32"/>
          <w:szCs w:val="32"/>
        </w:rPr>
        <w:t>知识产权信息</w:t>
      </w:r>
      <w:r>
        <w:rPr>
          <w:rFonts w:hint="eastAsia" w:ascii="仿宋_GB2312" w:eastAsia="仿宋_GB2312"/>
          <w:sz w:val="32"/>
          <w:szCs w:val="32"/>
        </w:rPr>
        <w:t>服务人才培养。</w:t>
      </w:r>
    </w:p>
    <w:p>
      <w:pPr>
        <w:ind w:firstLine="640" w:firstLineChars="200"/>
        <w:rPr>
          <w:rFonts w:ascii="仿宋_GB2312" w:eastAsia="仿宋_GB2312"/>
          <w:sz w:val="32"/>
          <w:szCs w:val="32"/>
        </w:rPr>
      </w:pPr>
      <w:r>
        <w:rPr>
          <w:rFonts w:hint="eastAsia" w:ascii="仿宋_GB2312" w:eastAsia="仿宋_GB2312"/>
          <w:sz w:val="32"/>
          <w:szCs w:val="32"/>
        </w:rPr>
        <w:t>四是营造优良的</w:t>
      </w:r>
      <w:r>
        <w:rPr>
          <w:rFonts w:ascii="仿宋_GB2312" w:eastAsia="仿宋_GB2312"/>
          <w:sz w:val="32"/>
          <w:szCs w:val="32"/>
        </w:rPr>
        <w:t>知识产权信息</w:t>
      </w:r>
      <w:r>
        <w:rPr>
          <w:rFonts w:hint="eastAsia" w:ascii="仿宋_GB2312" w:eastAsia="仿宋_GB2312"/>
          <w:sz w:val="32"/>
          <w:szCs w:val="32"/>
        </w:rPr>
        <w:t>服务</w:t>
      </w:r>
      <w:r>
        <w:rPr>
          <w:rFonts w:ascii="仿宋_GB2312" w:eastAsia="仿宋_GB2312"/>
          <w:sz w:val="32"/>
          <w:szCs w:val="32"/>
        </w:rPr>
        <w:t>环境</w:t>
      </w:r>
      <w:r>
        <w:rPr>
          <w:rFonts w:hint="eastAsia" w:ascii="仿宋_GB2312" w:eastAsia="仿宋_GB2312"/>
          <w:sz w:val="32"/>
          <w:szCs w:val="32"/>
        </w:rPr>
        <w:t>。</w:t>
      </w:r>
      <w:r>
        <w:rPr>
          <w:rFonts w:ascii="仿宋_GB2312" w:eastAsia="仿宋_GB2312"/>
          <w:sz w:val="32"/>
          <w:szCs w:val="32"/>
        </w:rPr>
        <w:t>主要</w:t>
      </w:r>
      <w:r>
        <w:rPr>
          <w:rFonts w:hint="eastAsia" w:ascii="仿宋_GB2312" w:eastAsia="仿宋_GB2312"/>
          <w:sz w:val="32"/>
          <w:szCs w:val="32"/>
        </w:rPr>
        <w:t>包括</w:t>
      </w:r>
      <w:r>
        <w:rPr>
          <w:rFonts w:ascii="仿宋_GB2312" w:eastAsia="仿宋_GB2312"/>
          <w:sz w:val="32"/>
          <w:szCs w:val="32"/>
        </w:rPr>
        <w:t>：</w:t>
      </w:r>
      <w:r>
        <w:rPr>
          <w:rFonts w:hint="eastAsia" w:ascii="仿宋_GB2312" w:eastAsia="仿宋_GB2312"/>
          <w:sz w:val="32"/>
          <w:szCs w:val="32"/>
        </w:rPr>
        <w:t>加速推动知识产权</w:t>
      </w:r>
      <w:r>
        <w:rPr>
          <w:rFonts w:ascii="仿宋_GB2312" w:eastAsia="仿宋_GB2312"/>
          <w:sz w:val="32"/>
          <w:szCs w:val="32"/>
        </w:rPr>
        <w:t>信息服务业</w:t>
      </w:r>
      <w:r>
        <w:rPr>
          <w:rFonts w:hint="eastAsia" w:ascii="仿宋_GB2312" w:eastAsia="仿宋_GB2312"/>
          <w:sz w:val="32"/>
          <w:szCs w:val="32"/>
        </w:rPr>
        <w:t>高水平开放</w:t>
      </w:r>
      <w:r>
        <w:rPr>
          <w:rFonts w:ascii="仿宋_GB2312" w:eastAsia="仿宋_GB2312"/>
          <w:sz w:val="32"/>
          <w:szCs w:val="32"/>
        </w:rPr>
        <w:t>协同发展</w:t>
      </w:r>
      <w:r>
        <w:rPr>
          <w:rFonts w:hint="eastAsia" w:ascii="仿宋_GB2312" w:eastAsia="仿宋_GB2312"/>
          <w:sz w:val="32"/>
          <w:szCs w:val="32"/>
        </w:rPr>
        <w:t>，加强知识产权信息服务行业自律，加强</w:t>
      </w:r>
      <w:r>
        <w:rPr>
          <w:rFonts w:ascii="仿宋_GB2312" w:eastAsia="仿宋_GB2312"/>
          <w:sz w:val="32"/>
          <w:szCs w:val="32"/>
        </w:rPr>
        <w:t>知识产权信息</w:t>
      </w:r>
      <w:r>
        <w:rPr>
          <w:rFonts w:hint="eastAsia" w:ascii="仿宋_GB2312" w:eastAsia="仿宋_GB2312"/>
          <w:sz w:val="32"/>
          <w:szCs w:val="32"/>
        </w:rPr>
        <w:t>服务宣传</w:t>
      </w:r>
      <w:r>
        <w:rPr>
          <w:rFonts w:ascii="仿宋_GB2312" w:eastAsia="仿宋_GB2312"/>
          <w:sz w:val="32"/>
          <w:szCs w:val="32"/>
        </w:rPr>
        <w:t>推广</w:t>
      </w:r>
      <w:r>
        <w:rPr>
          <w:rFonts w:hint="eastAsia" w:ascii="仿宋_GB2312" w:eastAsia="仿宋_GB2312"/>
          <w:sz w:val="32"/>
          <w:szCs w:val="32"/>
        </w:rPr>
        <w:t>。</w:t>
      </w:r>
    </w:p>
    <w:p>
      <w:pPr>
        <w:pStyle w:val="5"/>
        <w:spacing w:before="0" w:beforeAutospacing="0" w:after="0" w:afterAutospacing="0" w:line="560" w:lineRule="exact"/>
        <w:ind w:firstLine="567"/>
        <w:rPr>
          <w:rFonts w:ascii="楷体_GB2312" w:hAnsi="楷体_GB2312" w:eastAsia="楷体_GB2312" w:cs="楷体_GB2312"/>
          <w:b/>
          <w:bCs/>
          <w:color w:val="333333"/>
          <w:sz w:val="32"/>
          <w:szCs w:val="32"/>
          <w:shd w:val="clear" w:color="auto" w:fill="FFFFFF"/>
        </w:rPr>
      </w:pPr>
      <w:r>
        <w:rPr>
          <w:rFonts w:hint="eastAsia" w:ascii="楷体_GB2312" w:hAnsi="楷体_GB2312" w:eastAsia="楷体_GB2312" w:cs="楷体_GB2312"/>
          <w:b/>
          <w:bCs/>
          <w:color w:val="333333"/>
          <w:sz w:val="32"/>
          <w:szCs w:val="32"/>
          <w:shd w:val="clear" w:color="auto" w:fill="FFFFFF"/>
        </w:rPr>
        <w:t>（四）保障措施</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加强组织指导，经费保障以及信息服务工作效能评估。</w:t>
      </w:r>
    </w:p>
    <w:p>
      <w:pPr>
        <w:spacing w:line="600" w:lineRule="exact"/>
        <w:ind w:firstLine="640" w:firstLineChars="200"/>
        <w:jc w:val="left"/>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下一</w:t>
      </w:r>
      <w:r>
        <w:rPr>
          <w:rFonts w:ascii="仿宋_GB2312" w:hAnsi="仿宋_GB2312" w:eastAsia="仿宋_GB2312" w:cs="仿宋_GB2312"/>
          <w:color w:val="333333"/>
          <w:sz w:val="32"/>
          <w:szCs w:val="32"/>
          <w:shd w:val="clear" w:color="auto" w:fill="FFFFFF"/>
        </w:rPr>
        <w:t>步，希望</w:t>
      </w:r>
      <w:r>
        <w:rPr>
          <w:rFonts w:hint="eastAsia" w:ascii="仿宋_GB2312" w:hAnsi="仿宋_GB2312" w:eastAsia="仿宋_GB2312" w:cs="仿宋_GB2312"/>
          <w:color w:val="333333"/>
          <w:sz w:val="32"/>
          <w:szCs w:val="32"/>
          <w:shd w:val="clear" w:color="auto" w:fill="FFFFFF"/>
        </w:rPr>
        <w:t>各相关</w:t>
      </w:r>
      <w:r>
        <w:rPr>
          <w:rFonts w:ascii="仿宋_GB2312" w:hAnsi="仿宋_GB2312" w:eastAsia="仿宋_GB2312" w:cs="仿宋_GB2312"/>
          <w:color w:val="333333"/>
          <w:sz w:val="32"/>
          <w:szCs w:val="32"/>
          <w:shd w:val="clear" w:color="auto" w:fill="FFFFFF"/>
        </w:rPr>
        <w:t>单位加强与市</w:t>
      </w:r>
      <w:r>
        <w:rPr>
          <w:rFonts w:hint="eastAsia" w:ascii="仿宋_GB2312" w:hAnsi="仿宋_GB2312" w:eastAsia="仿宋_GB2312" w:cs="仿宋_GB2312"/>
          <w:color w:val="333333"/>
          <w:sz w:val="32"/>
          <w:szCs w:val="32"/>
          <w:shd w:val="clear" w:color="auto" w:fill="FFFFFF"/>
        </w:rPr>
        <w:t>知识产权局的沟通</w:t>
      </w:r>
      <w:r>
        <w:rPr>
          <w:rFonts w:ascii="仿宋_GB2312" w:hAnsi="仿宋_GB2312" w:eastAsia="仿宋_GB2312" w:cs="仿宋_GB2312"/>
          <w:color w:val="333333"/>
          <w:sz w:val="32"/>
          <w:szCs w:val="32"/>
          <w:shd w:val="clear" w:color="auto" w:fill="FFFFFF"/>
        </w:rPr>
        <w:t>协作，</w:t>
      </w:r>
      <w:r>
        <w:rPr>
          <w:rFonts w:hint="eastAsia" w:ascii="仿宋_GB2312" w:hAnsi="仿宋_GB2312" w:eastAsia="仿宋_GB2312" w:cs="仿宋_GB2312"/>
          <w:color w:val="333333"/>
          <w:sz w:val="32"/>
          <w:szCs w:val="32"/>
          <w:shd w:val="clear" w:color="auto" w:fill="FFFFFF"/>
        </w:rPr>
        <w:t>切实推动《行动方案》各项</w:t>
      </w:r>
      <w:r>
        <w:rPr>
          <w:rFonts w:ascii="仿宋_GB2312" w:hAnsi="仿宋_GB2312" w:eastAsia="仿宋_GB2312" w:cs="仿宋_GB2312"/>
          <w:color w:val="333333"/>
          <w:sz w:val="32"/>
          <w:szCs w:val="32"/>
          <w:shd w:val="clear" w:color="auto" w:fill="FFFFFF"/>
        </w:rPr>
        <w:t>任务</w:t>
      </w:r>
      <w:r>
        <w:rPr>
          <w:rFonts w:hint="eastAsia" w:ascii="仿宋_GB2312" w:hAnsi="仿宋_GB2312" w:eastAsia="仿宋_GB2312" w:cs="仿宋_GB2312"/>
          <w:color w:val="333333"/>
          <w:sz w:val="32"/>
          <w:szCs w:val="32"/>
          <w:shd w:val="clear" w:color="auto" w:fill="FFFFFF"/>
        </w:rPr>
        <w:t>的实施落实，取得工作实效！</w:t>
      </w:r>
    </w:p>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9618340"/>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F7B"/>
    <w:rsid w:val="00017500"/>
    <w:rsid w:val="00071C1E"/>
    <w:rsid w:val="0008225C"/>
    <w:rsid w:val="000D0FD6"/>
    <w:rsid w:val="000F68A1"/>
    <w:rsid w:val="00133F5A"/>
    <w:rsid w:val="00367CF6"/>
    <w:rsid w:val="003D6905"/>
    <w:rsid w:val="00573242"/>
    <w:rsid w:val="0058568F"/>
    <w:rsid w:val="0067098F"/>
    <w:rsid w:val="007B7AE8"/>
    <w:rsid w:val="00945F7B"/>
    <w:rsid w:val="00955132"/>
    <w:rsid w:val="00971042"/>
    <w:rsid w:val="00B134B0"/>
    <w:rsid w:val="00EE1827"/>
    <w:rsid w:val="00F65A8D"/>
    <w:rsid w:val="00F81F6D"/>
    <w:rsid w:val="00F96AB4"/>
    <w:rsid w:val="47443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0"/>
    <w:rPr>
      <w:b/>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标题 1 字符"/>
    <w:basedOn w:val="7"/>
    <w:link w:val="2"/>
    <w:qFormat/>
    <w:uiPriority w:val="9"/>
    <w:rPr>
      <w:rFonts w:ascii="Calibri" w:hAnsi="Calibri"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158</Words>
  <Characters>904</Characters>
  <Lines>7</Lines>
  <Paragraphs>2</Paragraphs>
  <TotalTime>138</TotalTime>
  <ScaleCrop>false</ScaleCrop>
  <LinksUpToDate>false</LinksUpToDate>
  <CharactersWithSpaces>1060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2022-04-25T01:12:00Z</dcterms:created>
  <dc:creator>孙厅 孙厅</dc:creator>
  <cp:lastModifiedBy>xiaosj</cp:lastModifiedBy>
  <dcterms:modified xsi:type="dcterms:W3CDTF">2022-04-28T01:05:32Z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DB145C5CC6454222A8B2685A516B64A4</vt:lpwstr>
  </property>
</Properties>
</file>