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rPr>
      </w:pPr>
      <w:r>
        <w:rPr>
          <w:rFonts w:hint="eastAsia" w:ascii="黑体" w:hAnsi="黑体" w:eastAsia="黑体"/>
        </w:rPr>
        <w:t>附件</w:t>
      </w: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重点任务分工表</w:t>
      </w:r>
    </w:p>
    <w:p>
      <w:pPr>
        <w:spacing w:line="560" w:lineRule="exact"/>
        <w:jc w:val="center"/>
        <w:rPr>
          <w:rFonts w:hint="eastAsia" w:ascii="黑体" w:hAnsi="黑体" w:eastAsia="黑体"/>
          <w:b/>
          <w:sz w:val="36"/>
          <w:szCs w:val="36"/>
        </w:rPr>
      </w:pPr>
    </w:p>
    <w:tbl>
      <w:tblPr>
        <w:tblStyle w:val="3"/>
        <w:tblW w:w="861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434"/>
        <w:gridCol w:w="2005"/>
        <w:gridCol w:w="25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blHeader/>
          <w:jc w:val="center"/>
        </w:trPr>
        <w:tc>
          <w:tcPr>
            <w:tcW w:w="655" w:type="dxa"/>
            <w:tcBorders>
              <w:top w:val="single" w:color="auto" w:sz="8" w:space="0"/>
              <w:left w:val="single" w:color="auto" w:sz="8" w:space="0"/>
              <w:bottom w:val="single" w:color="auto" w:sz="4" w:space="0"/>
              <w:right w:val="single" w:color="auto" w:sz="4" w:space="0"/>
            </w:tcBorders>
            <w:vAlign w:val="center"/>
          </w:tcPr>
          <w:p>
            <w:pPr>
              <w:widowControl/>
              <w:spacing w:line="440" w:lineRule="exact"/>
              <w:jc w:val="center"/>
              <w:rPr>
                <w:rFonts w:ascii="黑体" w:hAnsi="宋体" w:eastAsia="黑体" w:cs="宋体"/>
                <w:bCs/>
                <w:sz w:val="28"/>
                <w:szCs w:val="28"/>
              </w:rPr>
            </w:pPr>
            <w:r>
              <w:rPr>
                <w:rFonts w:hint="eastAsia" w:ascii="黑体" w:hAnsi="宋体" w:eastAsia="黑体" w:cs="宋体"/>
                <w:bCs/>
                <w:sz w:val="28"/>
                <w:szCs w:val="28"/>
              </w:rPr>
              <w:t>序号</w:t>
            </w:r>
          </w:p>
        </w:tc>
        <w:tc>
          <w:tcPr>
            <w:tcW w:w="3434" w:type="dxa"/>
            <w:tcBorders>
              <w:top w:val="single" w:color="auto" w:sz="8" w:space="0"/>
              <w:left w:val="single" w:color="auto" w:sz="4" w:space="0"/>
              <w:bottom w:val="single" w:color="auto" w:sz="4" w:space="0"/>
              <w:right w:val="single" w:color="auto" w:sz="4" w:space="0"/>
            </w:tcBorders>
            <w:vAlign w:val="center"/>
          </w:tcPr>
          <w:p>
            <w:pPr>
              <w:widowControl/>
              <w:spacing w:line="440" w:lineRule="exact"/>
              <w:jc w:val="center"/>
              <w:rPr>
                <w:rFonts w:ascii="黑体" w:hAnsi="宋体" w:eastAsia="黑体" w:cs="宋体"/>
                <w:bCs/>
                <w:sz w:val="28"/>
                <w:szCs w:val="28"/>
              </w:rPr>
            </w:pPr>
            <w:r>
              <w:rPr>
                <w:rFonts w:hint="eastAsia" w:ascii="黑体" w:hAnsi="宋体" w:eastAsia="黑体" w:cs="宋体"/>
                <w:bCs/>
                <w:sz w:val="28"/>
                <w:szCs w:val="28"/>
              </w:rPr>
              <w:t>工作任务</w:t>
            </w:r>
          </w:p>
        </w:tc>
        <w:tc>
          <w:tcPr>
            <w:tcW w:w="2005" w:type="dxa"/>
            <w:tcBorders>
              <w:top w:val="single" w:color="auto" w:sz="8" w:space="0"/>
              <w:left w:val="single" w:color="auto" w:sz="4" w:space="0"/>
              <w:bottom w:val="single" w:color="auto" w:sz="4" w:space="0"/>
              <w:right w:val="single" w:color="auto" w:sz="4" w:space="0"/>
            </w:tcBorders>
            <w:vAlign w:val="center"/>
          </w:tcPr>
          <w:p>
            <w:pPr>
              <w:widowControl/>
              <w:spacing w:line="440" w:lineRule="exact"/>
              <w:jc w:val="center"/>
              <w:rPr>
                <w:rFonts w:ascii="黑体" w:hAnsi="宋体" w:eastAsia="黑体" w:cs="宋体"/>
                <w:bCs/>
                <w:sz w:val="28"/>
                <w:szCs w:val="28"/>
              </w:rPr>
            </w:pPr>
            <w:r>
              <w:rPr>
                <w:rFonts w:hint="eastAsia" w:ascii="黑体" w:hAnsi="宋体" w:eastAsia="黑体" w:cs="宋体"/>
                <w:bCs/>
                <w:sz w:val="28"/>
                <w:szCs w:val="28"/>
              </w:rPr>
              <w:t>牵头单位</w:t>
            </w:r>
          </w:p>
        </w:tc>
        <w:tc>
          <w:tcPr>
            <w:tcW w:w="2518" w:type="dxa"/>
            <w:tcBorders>
              <w:top w:val="single" w:color="auto" w:sz="8" w:space="0"/>
              <w:left w:val="single" w:color="auto" w:sz="4" w:space="0"/>
              <w:bottom w:val="single" w:color="auto" w:sz="4" w:space="0"/>
              <w:right w:val="single" w:color="auto" w:sz="4" w:space="0"/>
            </w:tcBorders>
            <w:vAlign w:val="center"/>
          </w:tcPr>
          <w:p>
            <w:pPr>
              <w:widowControl/>
              <w:spacing w:line="440" w:lineRule="exact"/>
              <w:jc w:val="center"/>
              <w:rPr>
                <w:rFonts w:ascii="黑体" w:hAnsi="宋体" w:eastAsia="黑体" w:cs="宋体"/>
                <w:bCs/>
                <w:sz w:val="28"/>
                <w:szCs w:val="28"/>
              </w:rPr>
            </w:pPr>
            <w:r>
              <w:rPr>
                <w:rFonts w:hint="eastAsia" w:ascii="黑体" w:hAnsi="宋体" w:eastAsia="黑体" w:cs="宋体"/>
                <w:bCs/>
                <w:sz w:val="28"/>
                <w:szCs w:val="28"/>
              </w:rPr>
              <w:t>配合单位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1</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将符合条件的成年无业重度残疾人按照单人户纳入最低生活保障范围</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区民政局</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区财政局、区残联、各街道办事处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2</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逐步提高残疾人医疗救助水平。严格落实临时救助政策，对因故临时陷入困境的残疾人家庭或个人给予应急、过渡性救助</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区民政局</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区财政局、区残联、各街道办事处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3</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开展残疾人家庭个性化帮困服务</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4</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落实残疾人生活补助、残疾人护理补贴、残疾人意外伤害保险补贴等政策</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区财政局、区民政局、各街道办事处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5</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sz w:val="28"/>
                <w:szCs w:val="28"/>
              </w:rPr>
              <w:t>落实低收入残疾人家庭生活用电、水、气、暖等费用优惠和补贴政策</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pacing w:val="-6"/>
                <w:sz w:val="28"/>
                <w:szCs w:val="28"/>
              </w:rPr>
            </w:pPr>
            <w:r>
              <w:rPr>
                <w:rFonts w:hint="eastAsia" w:ascii="仿宋_GB2312" w:hAnsi="宋体" w:cs="宋体"/>
                <w:spacing w:val="-6"/>
                <w:sz w:val="28"/>
                <w:szCs w:val="28"/>
              </w:rPr>
              <w:t xml:space="preserve">区发展改革委 </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pacing w:val="-6"/>
                <w:sz w:val="28"/>
                <w:szCs w:val="28"/>
              </w:rPr>
              <w:t>区民政局、区财政局、区人力社保局、区市政市容委、区残联、各街道办事处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6</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落实残疾人参加城乡居民养老保险补贴个人缴费资助政策</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区人力社保局、区财政局、各街道办事处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7</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落实残疾人参加城镇居民医疗保险补贴制度</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区人力社保局</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区财政局、区残联、各街道办事处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8</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sz w:val="28"/>
                <w:szCs w:val="28"/>
              </w:rPr>
              <w:t>优化基本医疗保险支付的医疗康复项目</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区人力社保局</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区卫</w:t>
            </w:r>
            <w:r>
              <w:rPr>
                <w:rFonts w:hint="eastAsia" w:ascii="仿宋_GB2312" w:hAnsi="宋体" w:cs="宋体"/>
                <w:spacing w:val="-10"/>
                <w:sz w:val="28"/>
                <w:szCs w:val="28"/>
              </w:rPr>
              <w:t>生计生委、区民政局、区财政局、区残联、各街道办事处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9</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sz w:val="28"/>
                <w:szCs w:val="28"/>
              </w:rPr>
            </w:pPr>
            <w:r>
              <w:rPr>
                <w:rFonts w:hint="eastAsia" w:ascii="仿宋_GB2312" w:hAnsi="宋体"/>
                <w:sz w:val="28"/>
                <w:szCs w:val="28"/>
              </w:rPr>
              <w:t>落实重性精神障碍患者门诊免费服药工作，为其监护人发放看护管理补贴</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区卫</w:t>
            </w:r>
            <w:r>
              <w:rPr>
                <w:rFonts w:hint="eastAsia" w:ascii="仿宋_GB2312" w:hAnsi="宋体" w:cs="宋体"/>
                <w:spacing w:val="-10"/>
                <w:sz w:val="28"/>
                <w:szCs w:val="28"/>
              </w:rPr>
              <w:t>生计生委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sz w:val="28"/>
                <w:szCs w:val="28"/>
                <w:shd w:val="clear" w:color="auto" w:fill="FFFFFF"/>
              </w:rPr>
              <w:t>区民政局、区财政局、区残联、各街道办事处等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10</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保障符合条件的残疾人家庭基本住房需求</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区房管局</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11</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对有需求的残疾人家庭进行无障碍个性化改造</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12</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加大残疾人职业培训力度，落实培训补贴政策</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区人力社保局、区财政局、各街道办事处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13</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sz w:val="28"/>
                <w:szCs w:val="28"/>
              </w:rPr>
              <w:t>严格依法征缴残疾人就业保障金，加强资金管理</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区财政局</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区地税局、区残联、区人力社保局、区政府法制办、区民政局、各街道办事处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14</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落实用人单位安排残疾人就业的岗位补贴、超比例奖励政策和按比例安排残疾人就业公示制度</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区委组织部、区委宣传部、区人力社保局、西城工商分局、区科信委、区财政局、区地税局、区国资委、各街道办事处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15</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对各用人单位和社区公益性就业组织新安置本区残疾人就业的给予相应的社会保险补贴。鼓励本区各类企业都能规模安置本区残疾人</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区民政局、区财政局、区人力社保局、各街道办事处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16</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积极培育扶持残疾人集中就业的生产企业、服务企业和文化创业基地</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区民政局、区文化委、区委宣传部、各街道办事处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17</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加强“希联圆梦”残疾人手工艺品品牌建设</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区民政局、区委宣传部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18</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sz w:val="28"/>
                <w:szCs w:val="28"/>
              </w:rPr>
              <w:t>落实残疾人支持性就业服务办法及残疾人职业适应性训练办法</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区人力社保局、区财政局、各街道办事处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19</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建立1-2所示范性辅助性就业机构</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区民政局、区人力社保局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20</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对新成立的残疾人职业康复劳动项目实施扶持补贴，对参加职业康复劳动训练的残疾人实施相应的生活 补助</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21</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sz w:val="28"/>
                <w:szCs w:val="28"/>
              </w:rPr>
              <w:t>落实残疾人个体就业、自主创业和灵活就业的支持政策</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区人力社保局、区财政局、各街道办事处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22</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开发社会管理和服务就业岗位，促进残疾人及其家庭成员就业，对社区公益性劳动岗位进行适当补贴</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区人力社保局、区财政局、各街道办事处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23</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规范残疾人专职委员管理</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区委社会工委、各街道办事处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24</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sz w:val="28"/>
                <w:szCs w:val="28"/>
              </w:rPr>
              <w:t>加强残疾人就业服务和劳动保障监察</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区人力社保局</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25</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sz w:val="28"/>
                <w:szCs w:val="28"/>
              </w:rPr>
              <w:t>健全残疾预防机制和儿童残疾报告制度</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区卫生计生委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26</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sz w:val="28"/>
                <w:szCs w:val="28"/>
              </w:rPr>
            </w:pPr>
            <w:r>
              <w:rPr>
                <w:rFonts w:hint="eastAsia" w:ascii="仿宋_GB2312" w:hAnsi="宋体"/>
                <w:sz w:val="28"/>
                <w:szCs w:val="28"/>
              </w:rPr>
              <w:t>健全区域残疾人统计调查制度</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区统计局、区科信委、各街道办事处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27</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sz w:val="28"/>
                <w:szCs w:val="28"/>
              </w:rPr>
            </w:pPr>
            <w:r>
              <w:rPr>
                <w:rFonts w:hint="eastAsia" w:ascii="仿宋_GB2312" w:hAnsi="宋体"/>
                <w:sz w:val="28"/>
                <w:szCs w:val="28"/>
              </w:rPr>
              <w:t>落实辅助器具免费适配和购买补贴政策</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sz w:val="24"/>
                <w:szCs w:val="24"/>
              </w:rPr>
            </w:pPr>
            <w:r>
              <w:rPr>
                <w:rFonts w:hint="eastAsia" w:ascii="仿宋_GB2312" w:hAnsi="宋体"/>
                <w:sz w:val="24"/>
                <w:szCs w:val="24"/>
              </w:rPr>
              <w:t>28</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规范综合医疗机构、社区卫生服务机构的康复专业科室设置，制定社区卫生服务机构康复服务规范，将残疾人社区医疗康复纳入城乡基层医疗卫生机构建设考核内容</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区卫生计生委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cs="宋体"/>
                <w:sz w:val="28"/>
                <w:szCs w:val="28"/>
              </w:rPr>
              <w:t>区发展改革委、区残联、各街道办事处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29</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将残疾人康复服务纳入政府办实事工程</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区卫生计生委、区财政局、各街道办事处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30</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落实残疾儿童少年康复补助办法</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sz w:val="28"/>
                <w:szCs w:val="28"/>
              </w:rPr>
            </w:pPr>
            <w:r>
              <w:rPr>
                <w:rFonts w:hint="eastAsia" w:ascii="仿宋_GB2312" w:hAnsi="宋体"/>
                <w:sz w:val="28"/>
                <w:szCs w:val="28"/>
              </w:rPr>
              <w:t>区教委、区财政局</w:t>
            </w:r>
          </w:p>
          <w:p>
            <w:pPr>
              <w:spacing w:line="440" w:lineRule="exact"/>
              <w:rPr>
                <w:rFonts w:hint="eastAsia" w:ascii="仿宋_GB2312" w:hAnsi="宋体" w:cs="宋体"/>
                <w:sz w:val="28"/>
                <w:szCs w:val="28"/>
              </w:rPr>
            </w:pPr>
            <w:r>
              <w:rPr>
                <w:rFonts w:hint="eastAsia" w:ascii="仿宋_GB2312" w:hAnsi="宋体"/>
                <w:sz w:val="28"/>
                <w:szCs w:val="28"/>
              </w:rPr>
              <w:t>区卫生计生委、各街道办事处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31</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sz w:val="28"/>
                <w:szCs w:val="28"/>
              </w:rPr>
            </w:pPr>
            <w:r>
              <w:rPr>
                <w:rFonts w:hint="eastAsia" w:ascii="仿宋_GB2312" w:hAnsi="宋体"/>
                <w:sz w:val="28"/>
                <w:szCs w:val="28"/>
              </w:rPr>
              <w:t xml:space="preserve">全面建设融合教育支持保障体系，建立融合教育推行委员会 </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区教委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32</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sz w:val="28"/>
                <w:szCs w:val="28"/>
              </w:rPr>
              <w:t>落实融合教育信息通报制度，建立残疾学生电子个人档案</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区教委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33</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落实残疾学生双重学籍制度和残疾儿童少年送教上门管理办法</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区教委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34</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随班就读和送教上门学生生均公用经费标准按特殊教育学校学生标准执行</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区教委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35</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sz w:val="28"/>
                <w:szCs w:val="28"/>
              </w:rPr>
            </w:pPr>
            <w:r>
              <w:rPr>
                <w:rFonts w:hint="eastAsia" w:ascii="仿宋_GB2312" w:hAnsi="宋体"/>
                <w:sz w:val="28"/>
                <w:szCs w:val="28"/>
              </w:rPr>
              <w:t>对在各类学前教育康复机构的残疾儿童给予普惠性资助，推进高中阶段残疾人免费教育</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区教委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区残联、区财政、各街道办事处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36</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sz w:val="28"/>
                <w:szCs w:val="28"/>
              </w:rPr>
            </w:pPr>
            <w:r>
              <w:rPr>
                <w:rFonts w:hint="eastAsia" w:ascii="仿宋_GB2312" w:hAnsi="宋体"/>
                <w:sz w:val="28"/>
                <w:szCs w:val="28"/>
              </w:rPr>
              <w:t>公共文化体育设施、公园和旅游景区等公共场所按规定向残疾人免费或优惠开放。区内公共图书馆设立盲人阅览室或盲人阅览区，配置盲文读物及相关设备</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区文化委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区体育局、区园林绿化局、区旅游委、区残联、区发展改革委、各街道办事处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37</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打造“一街一品”残疾人文体品牌</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区文化委、区体育局、各街道办事处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38</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落实残疾人入住社会福利机构补贴办法和社区日间照料支持措施</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区民政局、区财政局、各街道办事处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39</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加强区级残疾人职业康复中心建设</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区财政局、区发展改革委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40</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sz w:val="28"/>
                <w:szCs w:val="28"/>
              </w:rPr>
            </w:pPr>
            <w:r>
              <w:rPr>
                <w:rFonts w:hint="eastAsia" w:ascii="仿宋_GB2312" w:hAnsi="宋体"/>
                <w:sz w:val="28"/>
                <w:szCs w:val="28"/>
              </w:rPr>
              <w:t>充实“残疾人温馨家园”综合服务内容,分类开展改革工作</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hint="eastAsia" w:ascii="仿宋_GB2312" w:hAnsi="宋体" w:cs="宋体"/>
                <w:sz w:val="24"/>
                <w:szCs w:val="24"/>
              </w:rPr>
            </w:pPr>
            <w:r>
              <w:rPr>
                <w:rFonts w:hint="eastAsia" w:ascii="仿宋_GB2312" w:hAnsi="宋体" w:cs="宋体"/>
                <w:sz w:val="24"/>
                <w:szCs w:val="24"/>
              </w:rPr>
              <w:t>41</w:t>
            </w:r>
          </w:p>
        </w:tc>
        <w:tc>
          <w:tcPr>
            <w:tcW w:w="3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sz w:val="28"/>
                <w:szCs w:val="28"/>
              </w:rPr>
              <w:t>完善无障碍环境建设协调机制和新建项目无障碍设施竣工验收机制</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区住房城市建设委</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仿宋_GB2312" w:hAnsi="宋体" w:cs="宋体"/>
                <w:sz w:val="28"/>
                <w:szCs w:val="28"/>
              </w:rPr>
            </w:pPr>
            <w:r>
              <w:rPr>
                <w:rFonts w:hint="eastAsia" w:ascii="仿宋_GB2312" w:hAnsi="宋体" w:cs="宋体"/>
                <w:sz w:val="28"/>
                <w:szCs w:val="28"/>
              </w:rPr>
              <w:t>区残联、各街道办事处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42</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逐步推进政务网站、公共服务网站等信息无障碍工作</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区财政局、区科信委、区住房城市建设委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43</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落实残疾人免费乘车、残疾人专用车免费停车、残疾人机动轮椅车燃油补贴等政策</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区财政局、各街道办事处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44</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健全志愿助残服务体系和工作机制，加强助残志愿者培训</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团区委、区委社会工委、区民政局、各街道办事处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45</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围绕重点节日开展残疾人走访慰问活动</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区财政局、区民政局、各街道办事处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46</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加大购买残疾人服务力度，逐步建立完善购买服务指导目录</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区财政局、区委社会工委、区民政局、各街道办事处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47</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加强残疾人工作者队伍 建设，推进专门协会社团法人登记</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区委社会工委、区民政局、各街道办事处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48</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强化残疾人权益保障，维护残疾人合法权益，开展社区普法宣传活动</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区司法局、各街道办事处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49</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加大残疾人事业宣传</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区委宣传部</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区残联、区科信委、各街道办事处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655" w:type="dxa"/>
            <w:tcBorders>
              <w:top w:val="single" w:color="auto" w:sz="4" w:space="0"/>
              <w:left w:val="single" w:color="auto" w:sz="8" w:space="0"/>
              <w:bottom w:val="single" w:color="auto" w:sz="4" w:space="0"/>
              <w:right w:val="single" w:color="auto" w:sz="4" w:space="0"/>
            </w:tcBorders>
            <w:vAlign w:val="center"/>
          </w:tcPr>
          <w:p>
            <w:pPr>
              <w:spacing w:line="440" w:lineRule="exact"/>
              <w:jc w:val="center"/>
              <w:rPr>
                <w:rFonts w:hint="eastAsia" w:ascii="仿宋_GB2312" w:hAnsi="宋体" w:cs="宋体"/>
                <w:sz w:val="24"/>
                <w:szCs w:val="24"/>
              </w:rPr>
            </w:pPr>
            <w:r>
              <w:rPr>
                <w:rFonts w:hint="eastAsia" w:ascii="仿宋_GB2312" w:hAnsi="宋体" w:cs="宋体"/>
                <w:sz w:val="24"/>
                <w:szCs w:val="24"/>
              </w:rPr>
              <w:t>50</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加强督导检查</w:t>
            </w:r>
          </w:p>
        </w:tc>
        <w:tc>
          <w:tcPr>
            <w:tcW w:w="2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区残工委</w:t>
            </w:r>
          </w:p>
        </w:tc>
        <w:tc>
          <w:tcPr>
            <w:tcW w:w="25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cs="宋体"/>
                <w:sz w:val="28"/>
                <w:szCs w:val="28"/>
              </w:rPr>
            </w:pPr>
            <w:r>
              <w:rPr>
                <w:rFonts w:hint="eastAsia" w:ascii="仿宋_GB2312" w:hAnsi="宋体" w:cs="宋体"/>
                <w:sz w:val="28"/>
                <w:szCs w:val="28"/>
              </w:rPr>
              <w:t>各残工委成员单位</w:t>
            </w:r>
          </w:p>
        </w:tc>
      </w:tr>
    </w:tbl>
    <w:p>
      <w:pPr>
        <w:spacing w:line="560" w:lineRule="exact"/>
        <w:ind w:firstLine="660" w:firstLineChars="150"/>
        <w:rPr>
          <w:rFonts w:hint="eastAsia" w:ascii="方正小标宋简体" w:eastAsia="方正小标宋简体"/>
          <w:sz w:val="44"/>
          <w:szCs w:val="44"/>
        </w:rPr>
      </w:pPr>
    </w:p>
    <w:p>
      <w:pPr>
        <w:spacing w:line="560" w:lineRule="exact"/>
        <w:jc w:val="left"/>
        <w:rPr>
          <w:rFonts w:hint="eastAsia" w:ascii="楷体_GB2312" w:eastAsia="楷体_GB2312"/>
        </w:rPr>
      </w:pPr>
    </w:p>
    <w:p>
      <w:pPr>
        <w:spacing w:line="560" w:lineRule="exact"/>
        <w:jc w:val="left"/>
        <w:rPr>
          <w:rFonts w:hint="eastAsia" w:ascii="楷体_GB2312" w:eastAsia="楷体_GB2312"/>
        </w:rPr>
      </w:pPr>
    </w:p>
    <w:p>
      <w:pPr>
        <w:spacing w:line="560" w:lineRule="exact"/>
        <w:jc w:val="left"/>
        <w:rPr>
          <w:rFonts w:hint="eastAsia" w:ascii="楷体_GB2312" w:eastAsia="楷体_GB2312"/>
        </w:rPr>
      </w:pPr>
    </w:p>
    <w:p>
      <w:pPr>
        <w:spacing w:line="560" w:lineRule="exact"/>
        <w:jc w:val="left"/>
        <w:rPr>
          <w:rFonts w:hint="eastAsia" w:ascii="楷体_GB2312" w:eastAsia="楷体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A2B83"/>
    <w:rsid w:val="145A2B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2017-01-13T01:53:00Z</dcterms:created>
  <dc:creator>Mmf99</dc:creator>
  <cp:lastModifiedBy>Mmf99</cp:lastModifiedBy>
  <dcterms:modified xsi:type="dcterms:W3CDTF">2017-01-13T02:10:18Z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