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附件9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民政局行政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处罚审批表</w:t>
      </w:r>
    </w:p>
    <w:bookmarkEnd w:id="0"/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文书编号： </w:t>
      </w:r>
    </w:p>
    <w:tbl>
      <w:tblPr>
        <w:tblStyle w:val="3"/>
        <w:tblW w:w="90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37"/>
        <w:gridCol w:w="992"/>
        <w:gridCol w:w="992"/>
        <w:gridCol w:w="425"/>
        <w:gridCol w:w="567"/>
        <w:gridCol w:w="198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案件名称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华文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当事人</w:t>
            </w:r>
          </w:p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基本情况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与持证人关系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住址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pacing w:val="-20"/>
                <w:sz w:val="24"/>
                <w:szCs w:val="24"/>
              </w:rPr>
            </w:pPr>
            <w:r>
              <w:rPr>
                <w:rFonts w:hint="eastAsia" w:hAnsi="仿宋"/>
                <w:spacing w:val="-20"/>
                <w:sz w:val="24"/>
                <w:szCs w:val="24"/>
              </w:rPr>
              <w:t>持证人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其他家庭成员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案件来源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立案时间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pacing w:val="-4"/>
                <w:sz w:val="24"/>
                <w:szCs w:val="24"/>
              </w:rPr>
            </w:pPr>
            <w:r>
              <w:rPr>
                <w:rFonts w:hint="eastAsia" w:hAnsi="仿宋"/>
                <w:spacing w:val="-4"/>
                <w:sz w:val="24"/>
                <w:szCs w:val="24"/>
              </w:rPr>
              <w:t>拟处行政处罚种类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违法事实及证据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法律依据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承办人意见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承办人：           年  月  日</w:t>
            </w:r>
          </w:p>
          <w:p>
            <w:pPr>
              <w:ind w:firstLine="2160" w:firstLineChars="9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执法队长/部门负责人意见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主管局长意见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局长审批意见</w:t>
            </w:r>
          </w:p>
        </w:tc>
        <w:tc>
          <w:tcPr>
            <w:tcW w:w="6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  年  月  日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54635"/>
    <w:rsid w:val="4F454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2016-11-10T01:51:00Z</dcterms:created>
  <dc:creator>banruo</dc:creator>
  <cp:lastModifiedBy>banruo</cp:lastModifiedBy>
  <dcterms:modified xsi:type="dcterms:W3CDTF">2016-11-10T01:52:07Z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