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黑体" w:hAnsi="宋体" w:eastAsia="黑体"/>
          <w:szCs w:val="32"/>
        </w:rPr>
        <w:t>附件4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立案报告</w:t>
      </w:r>
      <w:bookmarkEnd w:id="0"/>
    </w:p>
    <w:p>
      <w:pPr>
        <w:spacing w:line="560" w:lineRule="exact"/>
        <w:rPr>
          <w:rFonts w:hint="eastAsia"/>
          <w:szCs w:val="21"/>
        </w:rPr>
      </w:pPr>
      <w:r>
        <w:rPr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      </w:t>
      </w:r>
    </w:p>
    <w:p>
      <w:pPr>
        <w:spacing w:line="560" w:lineRule="exact"/>
        <w:ind w:firstLine="6080" w:firstLineChars="1900"/>
        <w:rPr>
          <w:rFonts w:hint="eastAsia"/>
        </w:rPr>
      </w:pPr>
      <w:r>
        <w:rPr>
          <w:rFonts w:hint="eastAsia"/>
        </w:rPr>
        <w:t>文书编号：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 xml:space="preserve">案    由： 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>来源方式：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 xml:space="preserve">受理时间： 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 xml:space="preserve">承办部门： 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>承 办 人：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  <w:r>
        <w:rPr>
          <w:rFonts w:hint="eastAsia" w:hAnsi="华文仿宋"/>
          <w:szCs w:val="32"/>
        </w:rPr>
        <w:t>承 办 人：</w:t>
      </w:r>
    </w:p>
    <w:p>
      <w:pPr>
        <w:spacing w:line="560" w:lineRule="exact"/>
        <w:ind w:firstLine="640" w:firstLineChars="200"/>
        <w:rPr>
          <w:rFonts w:hint="eastAsia" w:hAnsi="华文仿宋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rPr>
          <w:rFonts w:hint="eastAsia"/>
          <w:szCs w:val="32"/>
        </w:rPr>
      </w:pPr>
    </w:p>
    <w:p>
      <w:pPr>
        <w:spacing w:line="560" w:lineRule="exact"/>
        <w:jc w:val="righ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说明：立案报告主要内容为涉嫌违法信息、初步调查（检查）情况、违法事实、相关证据、法律依据、进一步调查计划。</w:t>
      </w:r>
    </w:p>
    <w:p>
      <w:r>
        <w:rPr>
          <w:rFonts w:hint="eastAsia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1511"/>
    <w:rsid w:val="0C5715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2016-11-10T01:50:00Z</dcterms:created>
  <dc:creator>banruo</dc:creator>
  <cp:lastModifiedBy>banruo</cp:lastModifiedBy>
  <dcterms:modified xsi:type="dcterms:W3CDTF">2016-11-10T01:50:21Z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