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1E6" w:rsidRDefault="00111464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1D41E6" w:rsidRDefault="001D41E6">
      <w:pPr>
        <w:widowControl/>
        <w:jc w:val="left"/>
        <w:rPr>
          <w:rFonts w:ascii="黑体" w:eastAsia="黑体"/>
          <w:sz w:val="28"/>
          <w:szCs w:val="28"/>
        </w:rPr>
      </w:pPr>
    </w:p>
    <w:p w:rsidR="001D41E6" w:rsidRDefault="00111464">
      <w:pPr>
        <w:tabs>
          <w:tab w:val="left" w:pos="7350"/>
        </w:tabs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不同情况下的集气效率</w:t>
      </w:r>
    </w:p>
    <w:tbl>
      <w:tblPr>
        <w:tblW w:w="8638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6"/>
        <w:gridCol w:w="4820"/>
        <w:gridCol w:w="1842"/>
      </w:tblGrid>
      <w:tr w:rsidR="001D41E6">
        <w:trPr>
          <w:trHeight w:val="567"/>
          <w:jc w:val="center"/>
        </w:trPr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hAnsi="宋体" w:hint="eastAsia"/>
                <w:color w:val="000000"/>
                <w:szCs w:val="21"/>
              </w:rPr>
              <w:t>类别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hAnsi="宋体" w:hint="eastAsia"/>
                <w:color w:val="000000"/>
                <w:szCs w:val="21"/>
              </w:rPr>
              <w:t>控制效率</w:t>
            </w:r>
          </w:p>
        </w:tc>
      </w:tr>
      <w:tr w:rsidR="001D41E6">
        <w:trPr>
          <w:trHeight w:val="567"/>
          <w:jc w:val="center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hAnsi="宋体" w:hint="eastAsia"/>
                <w:color w:val="000000"/>
                <w:szCs w:val="21"/>
              </w:rPr>
              <w:t>条件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hAnsi="宋体" w:hint="eastAsia"/>
                <w:color w:val="000000"/>
                <w:szCs w:val="21"/>
              </w:rPr>
              <w:t>集气效率（</w:t>
            </w:r>
            <w:r>
              <w:rPr>
                <w:rFonts w:ascii="仿宋_GB2312" w:hAnsi="宋体" w:hint="eastAsia"/>
                <w:color w:val="000000"/>
                <w:szCs w:val="21"/>
              </w:rPr>
              <w:t>%</w:t>
            </w:r>
            <w:r>
              <w:rPr>
                <w:rFonts w:ascii="仿宋_GB2312" w:hAnsi="宋体" w:hint="eastAsia"/>
                <w:color w:val="000000"/>
                <w:szCs w:val="21"/>
              </w:rPr>
              <w:t>）</w:t>
            </w:r>
          </w:p>
        </w:tc>
      </w:tr>
      <w:tr w:rsidR="001D41E6">
        <w:trPr>
          <w:trHeight w:val="567"/>
          <w:jc w:val="center"/>
        </w:trPr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密闭操作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int="eastAsia"/>
                <w:szCs w:val="21"/>
              </w:rPr>
              <w:t>VOCs</w:t>
            </w:r>
            <w:r>
              <w:rPr>
                <w:rFonts w:ascii="仿宋_GB2312" w:hint="eastAsia"/>
                <w:szCs w:val="21"/>
              </w:rPr>
              <w:t>通过密闭管道直接排入处理设施，不向大气无组织排放；或在密闭空间区域内无组织排放但通过抽风设施排入处理设施，无组织排放区域、人员、物料进出口均处于负压操作状态，并设有压力监测器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100</w:t>
            </w:r>
          </w:p>
        </w:tc>
      </w:tr>
      <w:tr w:rsidR="001D41E6">
        <w:trPr>
          <w:trHeight w:val="567"/>
          <w:jc w:val="center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VOCs</w:t>
            </w:r>
            <w:r>
              <w:rPr>
                <w:rFonts w:ascii="仿宋_GB2312" w:hint="eastAsia"/>
                <w:szCs w:val="21"/>
              </w:rPr>
              <w:t>在密闭空间区域内无组织排放但通过抽风设施排入处理设施，无组织排放区域处于负压操作状态，并设有压力监测器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90</w:t>
            </w:r>
          </w:p>
        </w:tc>
      </w:tr>
      <w:tr w:rsidR="001D41E6">
        <w:trPr>
          <w:trHeight w:val="567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排气柜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VOCs</w:t>
            </w:r>
            <w:r>
              <w:rPr>
                <w:rFonts w:ascii="仿宋_GB2312" w:hint="eastAsia"/>
                <w:szCs w:val="21"/>
              </w:rPr>
              <w:t>在非密闭空间区域内无组织排放但通过抽风设施排入处理设施，且采用集气柜作为废气收集系统。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80</w:t>
            </w:r>
          </w:p>
        </w:tc>
      </w:tr>
      <w:tr w:rsidR="001D41E6">
        <w:trPr>
          <w:trHeight w:val="567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int="eastAsia"/>
                <w:szCs w:val="21"/>
              </w:rPr>
              <w:t>外部吸（集、排）气罩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VOCs</w:t>
            </w:r>
            <w:r>
              <w:rPr>
                <w:rFonts w:ascii="仿宋_GB2312" w:hint="eastAsia"/>
                <w:szCs w:val="21"/>
              </w:rPr>
              <w:t>在非密闭空间区域内无组织排放但通过抽风设施排入处理设施，且采用外部吸（集、排）气罩作为废气收集系统。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60</w:t>
            </w:r>
          </w:p>
        </w:tc>
      </w:tr>
      <w:tr w:rsidR="001D41E6">
        <w:trPr>
          <w:trHeight w:val="567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无集气</w:t>
            </w:r>
            <w:r>
              <w:rPr>
                <w:rFonts w:ascii="仿宋_GB2312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hint="eastAsia"/>
                <w:color w:val="000000"/>
                <w:szCs w:val="21"/>
              </w:rPr>
              <w:t>设施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无废气收集系统或抽风设备不运行的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0</w:t>
            </w:r>
          </w:p>
        </w:tc>
      </w:tr>
    </w:tbl>
    <w:p w:rsidR="001D41E6" w:rsidRDefault="001D41E6"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 w:rsidR="001D41E6" w:rsidRDefault="001D41E6" w:rsidP="00DE2751">
      <w:pPr>
        <w:widowControl/>
        <w:jc w:val="left"/>
      </w:pPr>
      <w:bookmarkStart w:id="0" w:name="_GoBack"/>
      <w:bookmarkEnd w:id="0"/>
    </w:p>
    <w:sectPr w:rsidR="001D41E6" w:rsidSect="00DE2751">
      <w:footerReference w:type="default" r:id="rId7"/>
      <w:pgSz w:w="11906" w:h="16838"/>
      <w:pgMar w:top="2098" w:right="1474" w:bottom="1985" w:left="1588" w:header="851" w:footer="15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B67" w:rsidRDefault="00032B67" w:rsidP="001D41E6">
      <w:r>
        <w:separator/>
      </w:r>
    </w:p>
  </w:endnote>
  <w:endnote w:type="continuationSeparator" w:id="1">
    <w:p w:rsidR="00032B67" w:rsidRDefault="00032B67" w:rsidP="001D4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1E6" w:rsidRDefault="00111464">
    <w:pPr>
      <w:pStyle w:val="a3"/>
      <w:framePr w:w="1441" w:wrap="around" w:vAnchor="text" w:hAnchor="page" w:x="8961" w:y="-2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 xml:space="preserve">－ </w:t>
    </w:r>
    <w:r w:rsidR="00D93572"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 w:rsidR="00D93572">
      <w:rPr>
        <w:rStyle w:val="a6"/>
        <w:rFonts w:ascii="宋体" w:hAnsi="宋体"/>
        <w:sz w:val="28"/>
        <w:szCs w:val="28"/>
      </w:rPr>
      <w:fldChar w:fldCharType="separate"/>
    </w:r>
    <w:r w:rsidR="00DE2751">
      <w:rPr>
        <w:rStyle w:val="a6"/>
        <w:rFonts w:ascii="宋体" w:hAnsi="宋体"/>
        <w:noProof/>
        <w:sz w:val="28"/>
        <w:szCs w:val="28"/>
      </w:rPr>
      <w:t>1</w:t>
    </w:r>
    <w:r w:rsidR="00D93572"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－　</w:t>
    </w:r>
  </w:p>
  <w:p w:rsidR="001D41E6" w:rsidRDefault="001D41E6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B67" w:rsidRDefault="00032B67" w:rsidP="001D41E6">
      <w:r>
        <w:separator/>
      </w:r>
    </w:p>
  </w:footnote>
  <w:footnote w:type="continuationSeparator" w:id="1">
    <w:p w:rsidR="00032B67" w:rsidRDefault="00032B67" w:rsidP="001D41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51D4DDE"/>
    <w:rsid w:val="00032B67"/>
    <w:rsid w:val="00111464"/>
    <w:rsid w:val="001D41E6"/>
    <w:rsid w:val="002C45B2"/>
    <w:rsid w:val="00D93572"/>
    <w:rsid w:val="00DE2751"/>
    <w:rsid w:val="551D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41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D41E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rsid w:val="001D41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Title"/>
    <w:basedOn w:val="a"/>
    <w:next w:val="a"/>
    <w:qFormat/>
    <w:rsid w:val="001D41E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6">
    <w:name w:val="page number"/>
    <w:basedOn w:val="a0"/>
    <w:rsid w:val="001D41E6"/>
  </w:style>
  <w:style w:type="paragraph" w:customStyle="1" w:styleId="Bodytext2">
    <w:name w:val="Body text (2)"/>
    <w:basedOn w:val="a"/>
    <w:rsid w:val="001D41E6"/>
    <w:pPr>
      <w:shd w:val="clear" w:color="auto" w:fill="FFFFFF"/>
      <w:spacing w:after="180" w:line="255" w:lineRule="exact"/>
      <w:jc w:val="distribute"/>
    </w:pPr>
    <w:rPr>
      <w:rFonts w:ascii="MingLiU" w:eastAsia="MingLiU" w:hAnsi="MingLiU"/>
      <w:kern w:val="0"/>
      <w:sz w:val="12"/>
      <w:szCs w:val="12"/>
    </w:rPr>
  </w:style>
  <w:style w:type="paragraph" w:customStyle="1" w:styleId="a7">
    <w:name w:val="表格内容"/>
    <w:basedOn w:val="a"/>
    <w:rsid w:val="001D41E6"/>
    <w:pPr>
      <w:adjustRightInd w:val="0"/>
      <w:snapToGrid w:val="0"/>
      <w:jc w:val="center"/>
    </w:pPr>
    <w:rPr>
      <w:rFonts w:ascii="仿宋_GB2312" w:eastAsia="仿宋_GB2312"/>
      <w:kern w:val="0"/>
      <w:sz w:val="20"/>
      <w:szCs w:val="20"/>
    </w:rPr>
  </w:style>
  <w:style w:type="paragraph" w:customStyle="1" w:styleId="a8">
    <w:name w:val="图表内容"/>
    <w:basedOn w:val="a"/>
    <w:rsid w:val="001D41E6"/>
    <w:pPr>
      <w:adjustRightInd w:val="0"/>
      <w:snapToGrid w:val="0"/>
      <w:jc w:val="center"/>
    </w:pPr>
    <w:rPr>
      <w:rFonts w:ascii="仿宋_GB2312" w:eastAsia="仿宋_GB2312"/>
      <w:szCs w:val="22"/>
    </w:rPr>
  </w:style>
  <w:style w:type="paragraph" w:styleId="a9">
    <w:name w:val="header"/>
    <w:basedOn w:val="a"/>
    <w:link w:val="Char"/>
    <w:rsid w:val="002C4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2C45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2015-12-07T03:37:00Z</dcterms:created>
  <dcterms:modified xsi:type="dcterms:W3CDTF">2016-01-05T09:26:00Z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