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1" w:rsidRPr="00562205" w:rsidRDefault="005E7E31" w:rsidP="005E7E31">
      <w:pPr>
        <w:autoSpaceDE w:val="0"/>
        <w:autoSpaceDN w:val="0"/>
        <w:adjustRightInd w:val="0"/>
        <w:spacing w:line="52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 w:rsidRPr="00562205">
        <w:rPr>
          <w:rFonts w:ascii="黑体" w:eastAsia="黑体" w:hAnsi="Times New Roman" w:hint="eastAsia"/>
          <w:sz w:val="32"/>
          <w:szCs w:val="32"/>
        </w:rPr>
        <w:t>京建法〔</w:t>
      </w:r>
      <w:smartTag w:uri="Tencent" w:element="RTX">
        <w:r w:rsidRPr="00562205">
          <w:rPr>
            <w:rFonts w:ascii="黑体" w:eastAsia="黑体" w:hAnsi="Times New Roman" w:hint="eastAsia"/>
            <w:sz w:val="32"/>
            <w:szCs w:val="32"/>
          </w:rPr>
          <w:t>2014</w:t>
        </w:r>
      </w:smartTag>
      <w:r w:rsidRPr="00562205">
        <w:rPr>
          <w:rFonts w:ascii="黑体" w:eastAsia="黑体" w:hAnsi="Times New Roman" w:hint="eastAsia"/>
          <w:sz w:val="32"/>
          <w:szCs w:val="32"/>
        </w:rPr>
        <w:t>〕5号</w:t>
      </w:r>
      <w:r w:rsidRPr="00562205">
        <w:rPr>
          <w:rFonts w:ascii="黑体" w:eastAsia="黑体" w:hAnsi="宋体" w:cs="宋体" w:hint="eastAsia"/>
          <w:kern w:val="0"/>
          <w:sz w:val="32"/>
          <w:szCs w:val="32"/>
        </w:rPr>
        <w:t>附</w:t>
      </w:r>
      <w:r>
        <w:rPr>
          <w:rFonts w:ascii="黑体" w:eastAsia="黑体" w:hAnsi="宋体" w:cs="宋体" w:hint="eastAsia"/>
          <w:kern w:val="0"/>
          <w:sz w:val="32"/>
          <w:szCs w:val="32"/>
        </w:rPr>
        <w:t>件</w:t>
      </w:r>
    </w:p>
    <w:p w:rsidR="005E7E31" w:rsidRDefault="005E7E31" w:rsidP="005E7E31">
      <w:pPr>
        <w:widowControl/>
        <w:adjustRightInd w:val="0"/>
        <w:spacing w:line="360" w:lineRule="auto"/>
        <w:jc w:val="center"/>
        <w:rPr>
          <w:rFonts w:ascii="方正小标宋简体" w:eastAsia="方正小标宋简体" w:hAnsi="Times New Roman" w:hint="eastAsia"/>
          <w:kern w:val="0"/>
          <w:sz w:val="36"/>
          <w:szCs w:val="36"/>
        </w:rPr>
      </w:pPr>
    </w:p>
    <w:p w:rsidR="005E7E31" w:rsidRPr="00562205" w:rsidRDefault="005E7E31" w:rsidP="005E7E31">
      <w:pPr>
        <w:widowControl/>
        <w:adjustRightInd w:val="0"/>
        <w:spacing w:line="360" w:lineRule="auto"/>
        <w:jc w:val="center"/>
        <w:rPr>
          <w:rFonts w:ascii="方正小标宋简体" w:eastAsia="方正小标宋简体" w:hAnsi="Times New Roman" w:hint="eastAsia"/>
          <w:kern w:val="0"/>
          <w:sz w:val="36"/>
          <w:szCs w:val="36"/>
        </w:rPr>
      </w:pPr>
      <w:r w:rsidRPr="00562205">
        <w:rPr>
          <w:rFonts w:ascii="方正小标宋简体" w:eastAsia="方正小标宋简体" w:hAnsi="Times New Roman" w:hint="eastAsia"/>
          <w:kern w:val="0"/>
          <w:sz w:val="36"/>
          <w:szCs w:val="36"/>
        </w:rPr>
        <w:t>2004年《北京市建设工程概算定额》</w:t>
      </w:r>
    </w:p>
    <w:p w:rsidR="005E7E31" w:rsidRDefault="005E7E31" w:rsidP="005E7E31">
      <w:pPr>
        <w:widowControl/>
        <w:adjustRightInd w:val="0"/>
        <w:spacing w:line="360" w:lineRule="auto"/>
        <w:jc w:val="center"/>
        <w:rPr>
          <w:rFonts w:ascii="Times New Roman" w:eastAsia="方正小标宋简体" w:hAnsi="Times New Roman" w:hint="eastAsia"/>
          <w:kern w:val="0"/>
          <w:sz w:val="36"/>
          <w:szCs w:val="36"/>
        </w:rPr>
      </w:pPr>
      <w:r w:rsidRPr="00562205">
        <w:rPr>
          <w:rFonts w:ascii="Times New Roman" w:eastAsia="方正小标宋简体" w:hAnsi="Times New Roman"/>
          <w:kern w:val="0"/>
          <w:sz w:val="36"/>
          <w:szCs w:val="36"/>
        </w:rPr>
        <w:t>第四次调整系数表</w:t>
      </w:r>
    </w:p>
    <w:p w:rsidR="005E7E31" w:rsidRPr="00562205" w:rsidRDefault="005E7E31" w:rsidP="005E7E31">
      <w:pPr>
        <w:widowControl/>
        <w:adjustRightInd w:val="0"/>
        <w:spacing w:line="360" w:lineRule="auto"/>
        <w:jc w:val="center"/>
        <w:rPr>
          <w:rFonts w:ascii="Times New Roman" w:eastAsia="方正小标宋简体" w:hAnsi="Times New Roman" w:hint="eastAsia"/>
          <w:kern w:val="0"/>
          <w:sz w:val="36"/>
          <w:szCs w:val="3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9"/>
        <w:gridCol w:w="2654"/>
        <w:gridCol w:w="2923"/>
      </w:tblGrid>
      <w:tr w:rsidR="005E7E31" w:rsidRPr="00650ECB" w:rsidTr="004B53A1">
        <w:trPr>
          <w:trHeight w:val="821"/>
          <w:tblCellSpacing w:w="0" w:type="dxa"/>
        </w:trPr>
        <w:tc>
          <w:tcPr>
            <w:tcW w:w="5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工程类别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调整系数（</w:t>
            </w: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%</w:t>
            </w: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）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541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房屋建筑与装饰工程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37.49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541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安装工程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12.77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市政工程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道路、桥梁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10.05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管　道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12.23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轨道交通工程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地下明挖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44.84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暗挖、盖挖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16.12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盾　构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11.26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园林工程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庭　院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2.71</w:t>
            </w:r>
          </w:p>
        </w:tc>
      </w:tr>
      <w:tr w:rsidR="005E7E31" w:rsidRPr="00650ECB" w:rsidTr="004B53A1">
        <w:trPr>
          <w:trHeight w:val="82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绿　化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E31" w:rsidRPr="00650ECB" w:rsidRDefault="005E7E31" w:rsidP="004B53A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650EC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2.56</w:t>
            </w:r>
          </w:p>
        </w:tc>
      </w:tr>
    </w:tbl>
    <w:p w:rsidR="005E7E31" w:rsidRPr="00650ECB" w:rsidRDefault="005E7E31" w:rsidP="005E7E31">
      <w:pPr>
        <w:widowControl/>
        <w:spacing w:line="440" w:lineRule="exact"/>
        <w:ind w:firstLineChars="20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650ECB">
        <w:rPr>
          <w:rFonts w:ascii="Times New Roman" w:eastAsia="仿宋_GB2312" w:hAnsi="Times New Roman"/>
          <w:kern w:val="0"/>
          <w:sz w:val="32"/>
          <w:szCs w:val="32"/>
        </w:rPr>
        <w:t>说明：构筑物、建筑物以外的室外、钢结构、独立土石方、地下降水、桩基础、仿古建筑、轨道交通工程的装饰</w:t>
      </w:r>
      <w:r w:rsidRPr="00650ECB">
        <w:rPr>
          <w:rFonts w:ascii="Times New Roman" w:eastAsia="仿宋_GB2312" w:hAnsi="Times New Roman"/>
          <w:kern w:val="0"/>
          <w:sz w:val="32"/>
          <w:szCs w:val="32"/>
          <w:bdr w:val="none" w:sz="0" w:space="0" w:color="auto" w:frame="1"/>
        </w:rPr>
        <w:t>工程</w:t>
      </w:r>
      <w:r w:rsidRPr="00650ECB">
        <w:rPr>
          <w:rFonts w:ascii="Times New Roman" w:eastAsia="仿宋_GB2312" w:hAnsi="Times New Roman"/>
          <w:kern w:val="0"/>
          <w:sz w:val="32"/>
          <w:szCs w:val="32"/>
        </w:rPr>
        <w:t>等均执行房屋建筑与装饰工程的调整系数。</w:t>
      </w:r>
    </w:p>
    <w:p w:rsidR="007134D5" w:rsidRPr="005E7E31" w:rsidRDefault="007134D5"/>
    <w:sectPr w:rsidR="007134D5" w:rsidRPr="005E7E31" w:rsidSect="0071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37" w:rsidRDefault="00250A37" w:rsidP="005E7E31">
      <w:r>
        <w:separator/>
      </w:r>
    </w:p>
  </w:endnote>
  <w:endnote w:type="continuationSeparator" w:id="0">
    <w:p w:rsidR="00250A37" w:rsidRDefault="00250A37" w:rsidP="005E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37" w:rsidRDefault="00250A37" w:rsidP="005E7E31">
      <w:r>
        <w:separator/>
      </w:r>
    </w:p>
  </w:footnote>
  <w:footnote w:type="continuationSeparator" w:id="0">
    <w:p w:rsidR="00250A37" w:rsidRDefault="00250A37" w:rsidP="005E7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E31"/>
    <w:rsid w:val="00250A37"/>
    <w:rsid w:val="005E7E31"/>
    <w:rsid w:val="0071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name="RTX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E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2016-12-17T05:47:00Z</dcterms:created>
  <dcterms:modified xsi:type="dcterms:W3CDTF">2016-12-17T05:48:00Z</dcterms:modified>
</cp:coreProperties>
</file>