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4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94"/>
        <w:gridCol w:w="2768"/>
        <w:gridCol w:w="1167"/>
        <w:gridCol w:w="1264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小标宋" w:hAnsi="宋体" w:eastAsia="小标宋" w:cs="宋体"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小标宋" w:hAnsi="宋体" w:eastAsia="小标宋" w:cs="宋体"/>
                <w:bCs/>
                <w:kern w:val="0"/>
                <w:sz w:val="32"/>
                <w:szCs w:val="32"/>
              </w:rPr>
              <w:t>企业国有资本收益（国有股股息、股利）申报表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   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企业名称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注册地址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组织形式</w:t>
            </w:r>
          </w:p>
        </w:tc>
        <w:tc>
          <w:tcPr>
            <w:tcW w:w="40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（有限责任公司或股份有限公司）</w:t>
            </w:r>
          </w:p>
        </w:tc>
        <w:tc>
          <w:tcPr>
            <w:tcW w:w="40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所处行业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注册资本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其中：国有股权（股份）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开户银行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银行账号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</w:rPr>
              <w:t>财务经理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5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</w:rPr>
              <w:t>联系电话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应交国有资本收益申报情况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366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     目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申 报 数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预算单位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审核数</w:t>
            </w:r>
          </w:p>
        </w:tc>
        <w:tc>
          <w:tcPr>
            <w:tcW w:w="16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区财政局复核数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36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归属于母公司所有者的净利润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加：年初未分配利润（以前年度亏损以“-”号填列）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3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可供分配的利润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4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减：提取法定公积金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5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可供分配的利润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6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向投资者分配的利润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7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国有股权（股份）所占比例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8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应付国有股股息、股利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9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加：以前年度欠付的国有股股息、股利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减：本期已付的国有股股息、股利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11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应交（退）国有股股息、股利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附    送    资    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1.股东会（股东大会）决议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2.其他资料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声</w:t>
            </w:r>
          </w:p>
        </w:tc>
        <w:tc>
          <w:tcPr>
            <w:tcW w:w="6846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 xml:space="preserve">      本公司按照《公司法》和公司章程的规定进行利润分配，申报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6846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 xml:space="preserve">  资料真实、合法，国有股东公平分享股息、股利及其他合法权益。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明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</w:rPr>
              <w:t xml:space="preserve">                        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法人代表（签章）：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总会计师：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经办人：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B7662"/>
    <w:rsid w:val="421B76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2016-12-21T06:52:00Z</dcterms:created>
  <dc:creator>banruo</dc:creator>
  <cp:lastModifiedBy>banruo</cp:lastModifiedBy>
  <dcterms:modified xsi:type="dcterms:W3CDTF">2016-12-21T06:53:00Z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