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CD0" w:rsidRPr="00E847D8" w:rsidRDefault="00ED5CD0" w:rsidP="00ED5CD0">
      <w:pPr>
        <w:tabs>
          <w:tab w:val="left" w:pos="0"/>
          <w:tab w:val="left" w:pos="720"/>
          <w:tab w:val="left" w:pos="1440"/>
          <w:tab w:val="left" w:pos="2160"/>
          <w:tab w:val="left" w:pos="2880"/>
          <w:tab w:val="left" w:pos="3600"/>
          <w:tab w:val="left" w:pos="4320"/>
        </w:tabs>
        <w:adjustRightInd w:val="0"/>
        <w:spacing w:line="520" w:lineRule="exact"/>
        <w:rPr>
          <w:rFonts w:ascii="黑体" w:eastAsia="黑体" w:hAnsi="华文仿宋" w:hint="eastAsia"/>
          <w:w w:val="99"/>
          <w:sz w:val="32"/>
          <w:szCs w:val="32"/>
        </w:rPr>
      </w:pPr>
      <w:r w:rsidRPr="00E847D8">
        <w:rPr>
          <w:rFonts w:ascii="黑体" w:eastAsia="黑体" w:hAnsi="华文仿宋" w:hint="eastAsia"/>
          <w:w w:val="99"/>
          <w:sz w:val="32"/>
          <w:szCs w:val="32"/>
        </w:rPr>
        <w:t>附件</w:t>
      </w:r>
    </w:p>
    <w:p w:rsidR="00ED5CD0" w:rsidRPr="00E847D8" w:rsidRDefault="00ED5CD0" w:rsidP="00ED5CD0">
      <w:pPr>
        <w:tabs>
          <w:tab w:val="left" w:pos="0"/>
          <w:tab w:val="left" w:pos="720"/>
          <w:tab w:val="left" w:pos="1440"/>
          <w:tab w:val="left" w:pos="2160"/>
          <w:tab w:val="left" w:pos="2880"/>
          <w:tab w:val="left" w:pos="3600"/>
          <w:tab w:val="left" w:pos="4320"/>
        </w:tabs>
        <w:adjustRightInd w:val="0"/>
        <w:spacing w:line="520" w:lineRule="exact"/>
        <w:rPr>
          <w:rFonts w:ascii="黑体" w:eastAsia="黑体" w:hAnsi="华文仿宋" w:hint="eastAsia"/>
          <w:w w:val="99"/>
          <w:sz w:val="32"/>
          <w:szCs w:val="32"/>
        </w:rPr>
      </w:pPr>
    </w:p>
    <w:p w:rsidR="00ED5CD0" w:rsidRPr="00E847D8" w:rsidRDefault="00ED5CD0" w:rsidP="00ED5CD0">
      <w:pPr>
        <w:spacing w:line="520" w:lineRule="exact"/>
        <w:jc w:val="center"/>
        <w:rPr>
          <w:rFonts w:ascii="方正小标宋简体" w:eastAsia="方正小标宋简体" w:hAnsi="黑体" w:hint="eastAsia"/>
          <w:w w:val="99"/>
          <w:sz w:val="44"/>
          <w:szCs w:val="44"/>
        </w:rPr>
      </w:pPr>
      <w:r w:rsidRPr="00E847D8">
        <w:rPr>
          <w:rFonts w:ascii="方正小标宋简体" w:eastAsia="方正小标宋简体" w:hAnsi="黑体" w:hint="eastAsia"/>
          <w:w w:val="99"/>
          <w:sz w:val="44"/>
          <w:szCs w:val="44"/>
        </w:rPr>
        <w:t>关于</w:t>
      </w:r>
      <w:proofErr w:type="gramStart"/>
      <w:r w:rsidRPr="00E847D8">
        <w:rPr>
          <w:rFonts w:ascii="方正小标宋简体" w:eastAsia="方正小标宋简体" w:hAnsi="黑体" w:hint="eastAsia"/>
          <w:w w:val="99"/>
          <w:sz w:val="44"/>
          <w:szCs w:val="44"/>
        </w:rPr>
        <w:t>《</w:t>
      </w:r>
      <w:proofErr w:type="gramEnd"/>
      <w:r w:rsidRPr="00E847D8">
        <w:rPr>
          <w:rFonts w:ascii="方正小标宋简体" w:eastAsia="方正小标宋简体" w:hAnsi="黑体" w:hint="eastAsia"/>
          <w:w w:val="99"/>
          <w:sz w:val="44"/>
          <w:szCs w:val="44"/>
        </w:rPr>
        <w:t>北京市地方税务局关于明确</w:t>
      </w:r>
    </w:p>
    <w:p w:rsidR="00ED5CD0" w:rsidRPr="00E847D8" w:rsidRDefault="00ED5CD0" w:rsidP="00ED5CD0">
      <w:pPr>
        <w:spacing w:line="520" w:lineRule="exact"/>
        <w:jc w:val="center"/>
        <w:rPr>
          <w:rFonts w:ascii="方正小标宋简体" w:eastAsia="方正小标宋简体" w:hAnsi="黑体" w:hint="eastAsia"/>
          <w:w w:val="99"/>
          <w:sz w:val="44"/>
          <w:szCs w:val="44"/>
        </w:rPr>
      </w:pPr>
      <w:r w:rsidRPr="00E847D8">
        <w:rPr>
          <w:rFonts w:ascii="方正小标宋简体" w:eastAsia="方正小标宋简体" w:hAnsi="黑体" w:hint="eastAsia"/>
          <w:w w:val="99"/>
          <w:sz w:val="44"/>
          <w:szCs w:val="44"/>
        </w:rPr>
        <w:t>土地增值税有关问题的公告</w:t>
      </w:r>
      <w:proofErr w:type="gramStart"/>
      <w:r w:rsidRPr="00E847D8">
        <w:rPr>
          <w:rFonts w:ascii="方正小标宋简体" w:eastAsia="方正小标宋简体" w:hAnsi="黑体" w:hint="eastAsia"/>
          <w:w w:val="99"/>
          <w:sz w:val="44"/>
          <w:szCs w:val="44"/>
        </w:rPr>
        <w:t>》</w:t>
      </w:r>
      <w:proofErr w:type="gramEnd"/>
      <w:r w:rsidRPr="00E847D8">
        <w:rPr>
          <w:rFonts w:ascii="方正小标宋简体" w:eastAsia="方正小标宋简体" w:hAnsi="黑体" w:hint="eastAsia"/>
          <w:w w:val="99"/>
          <w:sz w:val="44"/>
          <w:szCs w:val="44"/>
        </w:rPr>
        <w:t>的政策解读</w:t>
      </w:r>
    </w:p>
    <w:p w:rsidR="00ED5CD0" w:rsidRPr="00E847D8" w:rsidRDefault="00ED5CD0" w:rsidP="00ED5CD0">
      <w:pPr>
        <w:spacing w:line="520" w:lineRule="exact"/>
        <w:ind w:firstLineChars="200" w:firstLine="630"/>
        <w:rPr>
          <w:rFonts w:ascii="仿宋_GB2312" w:eastAsia="仿宋_GB2312" w:hAnsi="华文仿宋" w:hint="eastAsia"/>
          <w:w w:val="99"/>
          <w:sz w:val="32"/>
          <w:szCs w:val="32"/>
        </w:rPr>
      </w:pPr>
    </w:p>
    <w:p w:rsidR="00ED5CD0" w:rsidRPr="00E847D8" w:rsidRDefault="00ED5CD0" w:rsidP="00ED5CD0">
      <w:pPr>
        <w:spacing w:line="520" w:lineRule="exact"/>
        <w:ind w:firstLineChars="200" w:firstLine="630"/>
        <w:rPr>
          <w:rFonts w:ascii="仿宋_GB2312" w:eastAsia="仿宋_GB2312" w:hAnsi="仿宋" w:hint="eastAsia"/>
          <w:w w:val="99"/>
          <w:sz w:val="32"/>
          <w:szCs w:val="32"/>
        </w:rPr>
      </w:pPr>
      <w:r w:rsidRPr="00E847D8">
        <w:rPr>
          <w:rFonts w:ascii="仿宋_GB2312" w:eastAsia="仿宋_GB2312" w:hAnsi="仿宋" w:hint="eastAsia"/>
          <w:w w:val="99"/>
          <w:sz w:val="32"/>
          <w:szCs w:val="32"/>
        </w:rPr>
        <w:t>为加强我市土地增值税征收管理，根据《中华人民共和国土地增值税暂行条例》及相关文件规定</w:t>
      </w:r>
      <w:r w:rsidRPr="00E847D8">
        <w:rPr>
          <w:rFonts w:ascii="仿宋_GB2312" w:eastAsia="仿宋_GB2312" w:hAnsi="华文仿宋" w:hint="eastAsia"/>
          <w:w w:val="99"/>
          <w:sz w:val="32"/>
          <w:szCs w:val="32"/>
        </w:rPr>
        <w:t>，北京市地方税务局印发了《</w:t>
      </w:r>
      <w:r w:rsidRPr="00E847D8">
        <w:rPr>
          <w:rFonts w:ascii="仿宋_GB2312" w:eastAsia="仿宋_GB2312" w:hAnsi="仿宋" w:hint="eastAsia"/>
          <w:w w:val="99"/>
          <w:sz w:val="32"/>
          <w:szCs w:val="32"/>
        </w:rPr>
        <w:t>北京市地方税务局关于明确土地增值税有关问题的公告</w:t>
      </w:r>
      <w:r w:rsidRPr="00E847D8">
        <w:rPr>
          <w:rFonts w:ascii="仿宋_GB2312" w:eastAsia="仿宋_GB2312" w:hAnsi="华文仿宋" w:hint="eastAsia"/>
          <w:w w:val="99"/>
          <w:sz w:val="32"/>
          <w:szCs w:val="32"/>
        </w:rPr>
        <w:t>》（2013年第8号），现解读如下：</w:t>
      </w:r>
    </w:p>
    <w:p w:rsidR="00ED5CD0" w:rsidRPr="00E847D8" w:rsidRDefault="00ED5CD0" w:rsidP="00ED5CD0">
      <w:pPr>
        <w:spacing w:line="520" w:lineRule="exact"/>
        <w:ind w:firstLineChars="200" w:firstLine="630"/>
        <w:rPr>
          <w:rFonts w:ascii="黑体" w:eastAsia="黑体" w:hAnsi="华文仿宋" w:hint="eastAsia"/>
          <w:w w:val="99"/>
          <w:sz w:val="32"/>
          <w:szCs w:val="32"/>
        </w:rPr>
      </w:pPr>
      <w:r w:rsidRPr="00E847D8">
        <w:rPr>
          <w:rFonts w:ascii="黑体" w:eastAsia="黑体" w:hAnsi="华文仿宋" w:hint="eastAsia"/>
          <w:w w:val="99"/>
          <w:sz w:val="32"/>
          <w:szCs w:val="32"/>
        </w:rPr>
        <w:t>一、公告施行后，</w:t>
      </w:r>
      <w:r w:rsidRPr="00E847D8">
        <w:rPr>
          <w:rFonts w:ascii="黑体" w:eastAsia="黑体" w:hAnsi="仿宋" w:hint="eastAsia"/>
          <w:w w:val="99"/>
          <w:sz w:val="32"/>
          <w:szCs w:val="32"/>
        </w:rPr>
        <w:t>我市土地增值税政策中普通住宅如何确认</w:t>
      </w:r>
      <w:r w:rsidRPr="00E847D8">
        <w:rPr>
          <w:rFonts w:ascii="黑体" w:eastAsia="黑体" w:hAnsi="华文仿宋" w:hint="eastAsia"/>
          <w:w w:val="99"/>
          <w:sz w:val="32"/>
          <w:szCs w:val="32"/>
        </w:rPr>
        <w:t>？</w:t>
      </w:r>
    </w:p>
    <w:p w:rsidR="00ED5CD0" w:rsidRPr="00E847D8" w:rsidRDefault="00ED5CD0" w:rsidP="00ED5CD0">
      <w:pPr>
        <w:spacing w:line="520" w:lineRule="exact"/>
        <w:ind w:firstLineChars="200" w:firstLine="630"/>
        <w:rPr>
          <w:rFonts w:ascii="仿宋_GB2312" w:eastAsia="仿宋_GB2312" w:hAnsi="仿宋" w:hint="eastAsia"/>
          <w:w w:val="99"/>
          <w:sz w:val="32"/>
          <w:szCs w:val="32"/>
        </w:rPr>
      </w:pPr>
      <w:r w:rsidRPr="00E847D8">
        <w:rPr>
          <w:rFonts w:ascii="仿宋_GB2312" w:eastAsia="仿宋_GB2312" w:hAnsi="华文仿宋" w:hint="eastAsia"/>
          <w:w w:val="99"/>
          <w:sz w:val="32"/>
          <w:szCs w:val="32"/>
        </w:rPr>
        <w:t>答：</w:t>
      </w:r>
      <w:r w:rsidRPr="00E847D8">
        <w:rPr>
          <w:rFonts w:ascii="仿宋_GB2312" w:eastAsia="仿宋_GB2312" w:hAnsi="仿宋" w:hint="eastAsia"/>
          <w:w w:val="99"/>
          <w:sz w:val="32"/>
          <w:szCs w:val="32"/>
        </w:rPr>
        <w:t>纳税人进行房地产开发项目土地增值税清算时，税务机关</w:t>
      </w:r>
      <w:r w:rsidRPr="00E847D8">
        <w:rPr>
          <w:rFonts w:ascii="仿宋_GB2312" w:eastAsia="仿宋_GB2312" w:hAnsi="仿宋" w:hint="eastAsia"/>
          <w:bCs/>
          <w:w w:val="99"/>
          <w:sz w:val="32"/>
          <w:szCs w:val="32"/>
        </w:rPr>
        <w:t>应按</w:t>
      </w:r>
      <w:r w:rsidRPr="00E847D8">
        <w:rPr>
          <w:rFonts w:ascii="仿宋_GB2312" w:eastAsia="仿宋_GB2312" w:hAnsi="仿宋" w:cs="宋体" w:hint="eastAsia"/>
          <w:w w:val="99"/>
          <w:kern w:val="0"/>
          <w:sz w:val="32"/>
          <w:szCs w:val="32"/>
        </w:rPr>
        <w:t>单套</w:t>
      </w:r>
      <w:r w:rsidRPr="00E847D8">
        <w:rPr>
          <w:rFonts w:ascii="仿宋_GB2312" w:eastAsia="仿宋_GB2312" w:hAnsi="仿宋" w:hint="eastAsia"/>
          <w:w w:val="99"/>
          <w:sz w:val="32"/>
          <w:szCs w:val="32"/>
        </w:rPr>
        <w:t>房屋销售时同级别土地上的普通住房标准对普通住宅进行审核确认。</w:t>
      </w:r>
    </w:p>
    <w:p w:rsidR="00ED5CD0" w:rsidRPr="00E847D8" w:rsidRDefault="00ED5CD0" w:rsidP="00ED5CD0">
      <w:pPr>
        <w:spacing w:line="520" w:lineRule="exact"/>
        <w:ind w:firstLineChars="200" w:firstLine="630"/>
        <w:rPr>
          <w:rFonts w:ascii="黑体" w:eastAsia="黑体" w:hAnsi="华文仿宋" w:hint="eastAsia"/>
          <w:w w:val="99"/>
          <w:sz w:val="32"/>
          <w:szCs w:val="32"/>
        </w:rPr>
      </w:pPr>
      <w:r w:rsidRPr="00E847D8">
        <w:rPr>
          <w:rFonts w:ascii="黑体" w:eastAsia="黑体" w:hAnsi="华文仿宋" w:hint="eastAsia"/>
          <w:w w:val="99"/>
          <w:sz w:val="32"/>
          <w:szCs w:val="32"/>
        </w:rPr>
        <w:t>二、土地增值税普通住宅审核确认工作的政策衔接是如何规定的？</w:t>
      </w:r>
    </w:p>
    <w:p w:rsidR="00ED5CD0" w:rsidRPr="00E847D8" w:rsidRDefault="00ED5CD0" w:rsidP="00ED5CD0">
      <w:pPr>
        <w:adjustRightInd w:val="0"/>
        <w:spacing w:line="520" w:lineRule="exact"/>
        <w:ind w:firstLineChars="200" w:firstLine="630"/>
        <w:rPr>
          <w:rFonts w:ascii="仿宋_GB2312" w:eastAsia="仿宋_GB2312" w:hAnsi="仿宋" w:hint="eastAsia"/>
          <w:w w:val="99"/>
          <w:sz w:val="32"/>
          <w:szCs w:val="32"/>
        </w:rPr>
      </w:pPr>
      <w:r w:rsidRPr="00E847D8">
        <w:rPr>
          <w:rFonts w:ascii="仿宋_GB2312" w:eastAsia="仿宋_GB2312" w:hAnsi="华文仿宋" w:hint="eastAsia"/>
          <w:w w:val="99"/>
          <w:sz w:val="32"/>
          <w:szCs w:val="32"/>
        </w:rPr>
        <w:t>答：</w:t>
      </w:r>
      <w:r w:rsidRPr="00E847D8">
        <w:rPr>
          <w:rFonts w:ascii="仿宋_GB2312" w:eastAsia="仿宋_GB2312" w:hAnsi="仿宋" w:hint="eastAsia"/>
          <w:w w:val="99"/>
          <w:sz w:val="32"/>
          <w:szCs w:val="32"/>
        </w:rPr>
        <w:t>公告施行前，纳税人房地产开发项目的清算</w:t>
      </w:r>
      <w:proofErr w:type="gramStart"/>
      <w:r w:rsidRPr="00E847D8">
        <w:rPr>
          <w:rFonts w:ascii="仿宋_GB2312" w:eastAsia="仿宋_GB2312" w:hAnsi="仿宋" w:hint="eastAsia"/>
          <w:w w:val="99"/>
          <w:sz w:val="32"/>
          <w:szCs w:val="32"/>
        </w:rPr>
        <w:t>鉴证</w:t>
      </w:r>
      <w:proofErr w:type="gramEnd"/>
      <w:r w:rsidRPr="00E847D8">
        <w:rPr>
          <w:rFonts w:ascii="仿宋_GB2312" w:eastAsia="仿宋_GB2312" w:hAnsi="仿宋" w:hint="eastAsia"/>
          <w:w w:val="99"/>
          <w:sz w:val="32"/>
          <w:szCs w:val="32"/>
        </w:rPr>
        <w:t>报告已经税务机关受理的，</w:t>
      </w:r>
      <w:r w:rsidRPr="00E847D8">
        <w:rPr>
          <w:rFonts w:ascii="仿宋_GB2312" w:eastAsia="仿宋_GB2312" w:hAnsi="仿宋" w:hint="eastAsia"/>
          <w:bCs/>
          <w:w w:val="99"/>
          <w:sz w:val="32"/>
          <w:szCs w:val="32"/>
        </w:rPr>
        <w:t>土地增值税普通住宅的审核确认</w:t>
      </w:r>
      <w:r w:rsidRPr="00E847D8">
        <w:rPr>
          <w:rFonts w:ascii="仿宋_GB2312" w:eastAsia="仿宋_GB2312" w:hAnsi="仿宋" w:hint="eastAsia"/>
          <w:w w:val="99"/>
          <w:sz w:val="32"/>
          <w:szCs w:val="32"/>
        </w:rPr>
        <w:t>仍按原政策执行。</w:t>
      </w:r>
    </w:p>
    <w:p w:rsidR="00ED5CD0" w:rsidRPr="00E847D8" w:rsidRDefault="00ED5CD0" w:rsidP="00ED5CD0">
      <w:pPr>
        <w:spacing w:line="520" w:lineRule="exact"/>
        <w:ind w:firstLineChars="200" w:firstLine="630"/>
        <w:rPr>
          <w:rFonts w:ascii="黑体" w:eastAsia="黑体" w:hAnsi="华文仿宋" w:hint="eastAsia"/>
          <w:w w:val="99"/>
          <w:sz w:val="32"/>
          <w:szCs w:val="32"/>
        </w:rPr>
      </w:pPr>
      <w:r w:rsidRPr="00E847D8">
        <w:rPr>
          <w:rFonts w:ascii="黑体" w:eastAsia="黑体" w:hAnsi="华文仿宋" w:hint="eastAsia"/>
          <w:w w:val="99"/>
          <w:sz w:val="32"/>
          <w:szCs w:val="32"/>
        </w:rPr>
        <w:t>三、房地产开发项目进行土地增值税清算时，开发项目中包含多种类型房屋的，应如何计税？</w:t>
      </w:r>
    </w:p>
    <w:p w:rsidR="00ED5CD0" w:rsidRPr="00E847D8" w:rsidRDefault="00ED5CD0" w:rsidP="00ED5CD0">
      <w:pPr>
        <w:adjustRightInd w:val="0"/>
        <w:spacing w:line="520" w:lineRule="exact"/>
        <w:ind w:firstLineChars="200" w:firstLine="630"/>
        <w:rPr>
          <w:rFonts w:ascii="仿宋_GB2312" w:eastAsia="仿宋_GB2312" w:hAnsi="仿宋" w:hint="eastAsia"/>
          <w:w w:val="99"/>
          <w:sz w:val="32"/>
          <w:szCs w:val="32"/>
        </w:rPr>
      </w:pPr>
      <w:r w:rsidRPr="00E847D8">
        <w:rPr>
          <w:rFonts w:ascii="仿宋_GB2312" w:eastAsia="仿宋_GB2312" w:hAnsi="华文仿宋" w:hint="eastAsia"/>
          <w:w w:val="99"/>
          <w:sz w:val="32"/>
          <w:szCs w:val="32"/>
        </w:rPr>
        <w:t>答：</w:t>
      </w:r>
      <w:r w:rsidRPr="00E847D8">
        <w:rPr>
          <w:rFonts w:ascii="仿宋_GB2312" w:eastAsia="仿宋_GB2312" w:hAnsi="仿宋" w:hint="eastAsia"/>
          <w:w w:val="99"/>
          <w:sz w:val="32"/>
          <w:szCs w:val="32"/>
        </w:rPr>
        <w:t>纳税人进行房地产开发项目土地增值税清算时，开发项目中包含多种类型房屋的，按照财政部、国家税务总局有关文件规定，应区分为普通住宅和其他商品房两类分别计算增值额。</w:t>
      </w:r>
    </w:p>
    <w:p w:rsidR="00ED5CD0" w:rsidRPr="00E847D8" w:rsidRDefault="00ED5CD0" w:rsidP="00ED5CD0">
      <w:pPr>
        <w:spacing w:line="520" w:lineRule="exact"/>
        <w:ind w:firstLineChars="200" w:firstLine="630"/>
        <w:rPr>
          <w:rFonts w:ascii="黑体" w:eastAsia="黑体" w:hAnsi="华文仿宋" w:hint="eastAsia"/>
          <w:w w:val="99"/>
          <w:sz w:val="32"/>
          <w:szCs w:val="32"/>
        </w:rPr>
      </w:pPr>
      <w:r w:rsidRPr="00E847D8">
        <w:rPr>
          <w:rFonts w:ascii="黑体" w:eastAsia="黑体" w:hAnsi="华文仿宋" w:hint="eastAsia"/>
          <w:w w:val="99"/>
          <w:sz w:val="32"/>
          <w:szCs w:val="32"/>
        </w:rPr>
        <w:t>四、个人转让存量房征收土地增值税时，对既不能提供房</w:t>
      </w:r>
      <w:r w:rsidRPr="00E847D8">
        <w:rPr>
          <w:rFonts w:ascii="黑体" w:eastAsia="黑体" w:hAnsi="华文仿宋" w:hint="eastAsia"/>
          <w:w w:val="99"/>
          <w:sz w:val="32"/>
          <w:szCs w:val="32"/>
        </w:rPr>
        <w:lastRenderedPageBreak/>
        <w:t>屋及建筑物价格评估报告，又不能提供购房发票证明的，应如何计税？</w:t>
      </w:r>
    </w:p>
    <w:p w:rsidR="00ED5CD0" w:rsidRPr="00E847D8" w:rsidRDefault="00ED5CD0" w:rsidP="00ED5CD0">
      <w:pPr>
        <w:adjustRightInd w:val="0"/>
        <w:spacing w:line="520" w:lineRule="exact"/>
        <w:ind w:firstLineChars="200" w:firstLine="630"/>
        <w:rPr>
          <w:rFonts w:ascii="仿宋_GB2312" w:eastAsia="仿宋_GB2312" w:hAnsi="仿宋" w:hint="eastAsia"/>
          <w:w w:val="99"/>
          <w:sz w:val="32"/>
          <w:szCs w:val="32"/>
        </w:rPr>
      </w:pPr>
      <w:r w:rsidRPr="00E847D8">
        <w:rPr>
          <w:rFonts w:ascii="仿宋_GB2312" w:eastAsia="仿宋_GB2312" w:hAnsi="华文仿宋" w:hint="eastAsia"/>
          <w:w w:val="99"/>
          <w:sz w:val="32"/>
          <w:szCs w:val="32"/>
        </w:rPr>
        <w:t>答：</w:t>
      </w:r>
      <w:r w:rsidRPr="00E847D8">
        <w:rPr>
          <w:rFonts w:ascii="仿宋_GB2312" w:eastAsia="仿宋_GB2312" w:hAnsi="仿宋" w:hint="eastAsia"/>
          <w:w w:val="99"/>
          <w:sz w:val="32"/>
          <w:szCs w:val="32"/>
        </w:rPr>
        <w:t>近年来，随着房地产市场的不断发展，我市对个人转让存量房征收土地增值税的核定征收率已滞后于房地产市场发展的实际情况，为解决此问题，同时根据国家税务总局有关文件规定，此次我市对个人转让存量房核定征收土地增值税的核定征收率进行了调整。</w:t>
      </w:r>
    </w:p>
    <w:p w:rsidR="00ED5CD0" w:rsidRPr="00E847D8" w:rsidRDefault="00ED5CD0" w:rsidP="00ED5CD0">
      <w:pPr>
        <w:adjustRightInd w:val="0"/>
        <w:spacing w:line="520" w:lineRule="exact"/>
        <w:ind w:firstLineChars="200" w:firstLine="630"/>
        <w:rPr>
          <w:rFonts w:ascii="仿宋_GB2312" w:eastAsia="仿宋_GB2312" w:hAnsi="仿宋" w:hint="eastAsia"/>
          <w:w w:val="99"/>
          <w:sz w:val="32"/>
          <w:szCs w:val="32"/>
        </w:rPr>
      </w:pPr>
      <w:r w:rsidRPr="00E847D8">
        <w:rPr>
          <w:rFonts w:ascii="仿宋_GB2312" w:eastAsia="仿宋_GB2312" w:hAnsi="仿宋" w:hint="eastAsia"/>
          <w:w w:val="99"/>
          <w:sz w:val="32"/>
          <w:szCs w:val="32"/>
        </w:rPr>
        <w:t>公告规定 “个人转让存量房征收土地增值税时，对既不能提供房屋及建筑物价格评估报告，又不能提供购房发票证明的，税务机关可采取核定征收办法，按转让存量房交易价格全额5%的征收率计征土地增值税”。凡存量房交易的纳税人自公告施行之日</w:t>
      </w:r>
      <w:proofErr w:type="gramStart"/>
      <w:r w:rsidRPr="00E847D8">
        <w:rPr>
          <w:rFonts w:ascii="仿宋_GB2312" w:eastAsia="仿宋_GB2312" w:hAnsi="仿宋" w:hint="eastAsia"/>
          <w:w w:val="99"/>
          <w:sz w:val="32"/>
          <w:szCs w:val="32"/>
        </w:rPr>
        <w:t>起办理</w:t>
      </w:r>
      <w:proofErr w:type="gramEnd"/>
      <w:r w:rsidRPr="00E847D8">
        <w:rPr>
          <w:rFonts w:ascii="仿宋_GB2312" w:eastAsia="仿宋_GB2312" w:hAnsi="仿宋" w:hint="eastAsia"/>
          <w:w w:val="99"/>
          <w:sz w:val="32"/>
          <w:szCs w:val="32"/>
        </w:rPr>
        <w:t>存量房买卖合同（网上）签约的，按本规定执行。</w:t>
      </w:r>
    </w:p>
    <w:p w:rsidR="00ED5CD0" w:rsidRPr="00E847D8" w:rsidRDefault="00ED5CD0" w:rsidP="00ED5CD0">
      <w:pPr>
        <w:adjustRightInd w:val="0"/>
        <w:spacing w:line="520" w:lineRule="exact"/>
        <w:ind w:firstLineChars="200" w:firstLine="630"/>
        <w:rPr>
          <w:rFonts w:ascii="仿宋_GB2312" w:eastAsia="仿宋_GB2312" w:hAnsi="仿宋" w:hint="eastAsia"/>
          <w:w w:val="99"/>
          <w:sz w:val="32"/>
          <w:szCs w:val="32"/>
        </w:rPr>
      </w:pPr>
      <w:r w:rsidRPr="00E847D8">
        <w:rPr>
          <w:rFonts w:ascii="仿宋_GB2312" w:eastAsia="仿宋_GB2312" w:hAnsi="仿宋" w:hint="eastAsia"/>
          <w:w w:val="99"/>
          <w:sz w:val="32"/>
          <w:szCs w:val="32"/>
        </w:rPr>
        <w:t>对个人转让存量住房的，仍按照《财政部 国家税务总局关于调整房地产交易环节税收政策的通知》（财税〔2008〕137号）第三条规定，暂免征收土地增值税。</w:t>
      </w:r>
    </w:p>
    <w:p w:rsidR="00ED5CD0" w:rsidRPr="00E847D8" w:rsidRDefault="00ED5CD0" w:rsidP="00ED5CD0">
      <w:pPr>
        <w:adjustRightInd w:val="0"/>
        <w:spacing w:line="520" w:lineRule="exact"/>
        <w:ind w:firstLineChars="200" w:firstLine="630"/>
        <w:rPr>
          <w:rFonts w:ascii="仿宋_GB2312" w:eastAsia="仿宋_GB2312" w:hAnsi="华文仿宋" w:cs="宋体" w:hint="eastAsia"/>
          <w:w w:val="99"/>
          <w:kern w:val="0"/>
          <w:sz w:val="32"/>
          <w:szCs w:val="32"/>
        </w:rPr>
      </w:pPr>
      <w:r w:rsidRPr="00E847D8">
        <w:rPr>
          <w:rFonts w:ascii="仿宋_GB2312" w:eastAsia="仿宋_GB2312" w:hAnsi="仿宋" w:hint="eastAsia"/>
          <w:w w:val="99"/>
          <w:sz w:val="32"/>
          <w:szCs w:val="32"/>
        </w:rPr>
        <w:t>公告规定，自公告施行之日起，《北京市地方税务局关于个人转让二手房征收土地增值税问题的通知》（京地税地〔2006〕456号）中第三条“对既不能够提供购房发票证明，又不能提供房屋及建筑物价格评估报告的，税务机关可采取核定征收办法，按转让二手房交易价格全额的1%征收率计征土地增值税”的规定废止。</w:t>
      </w:r>
    </w:p>
    <w:p w:rsidR="00F03DC9" w:rsidRPr="00ED5CD0" w:rsidRDefault="00ED5CD0">
      <w:bookmarkStart w:id="0" w:name="_GoBack"/>
      <w:bookmarkEnd w:id="0"/>
    </w:p>
    <w:sectPr w:rsidR="00F03DC9" w:rsidRPr="00ED5C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D0"/>
    <w:rsid w:val="00637332"/>
    <w:rsid w:val="00AF6100"/>
    <w:rsid w:val="00ED5CD0"/>
    <w:rsid w:val="00F4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444D0-D05E-4861-9EDA-FA3962B1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CD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
    <w:name w:val="Char Char Char Char Char Char Char Char"/>
    <w:basedOn w:val="a"/>
    <w:rsid w:val="00ED5CD0"/>
    <w:pPr>
      <w:widowControl/>
      <w:spacing w:after="160" w:line="240" w:lineRule="exact"/>
      <w:jc w:val="left"/>
    </w:pPr>
    <w:rPr>
      <w:rFonts w:ascii="Verdana" w:hAnsi="Verdan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LongLong</dc:creator>
  <cp:keywords/>
  <dc:description/>
  <cp:lastModifiedBy>LongLong</cp:lastModifiedBy>
  <cp:revision>1</cp:revision>
  <dcterms:created xsi:type="dcterms:W3CDTF">2016-11-21T09:11:00Z</dcterms:created>
  <dcterms:modified xsi:type="dcterms:W3CDTF">2016-11-21T09:11:00Z</dcterms:modified>
</cp:coreProperties>
</file>