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附件2</w:t>
      </w:r>
    </w:p>
    <w:p>
      <w:pPr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延庆县规范类小区物业服务标准</w:t>
      </w:r>
    </w:p>
    <w:bookmarkEnd w:id="0"/>
    <w:tbl>
      <w:tblPr>
        <w:tblStyle w:val="3"/>
        <w:tblW w:w="1006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93" w:type="dxa"/>
            <w:vAlign w:val="top"/>
          </w:tcPr>
          <w:p>
            <w:pPr>
              <w:ind w:left="-708" w:leftChars="-337" w:firstLine="708" w:firstLineChars="337"/>
            </w:pPr>
          </w:p>
        </w:tc>
        <w:tc>
          <w:tcPr>
            <w:tcW w:w="9072" w:type="dxa"/>
            <w:vAlign w:val="top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项  目  规  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基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本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要</w:t>
            </w:r>
          </w:p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求</w:t>
            </w:r>
          </w:p>
        </w:tc>
        <w:tc>
          <w:tcPr>
            <w:tcW w:w="9072" w:type="dxa"/>
            <w:vAlign w:val="top"/>
          </w:tcPr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left="120" w:right="31" w:rightChars="15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1.1客户服务场所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1.设置客户服务场所，配置基本办公设备。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2.公示物业服务企业资质证书或复印件、项目负责人照片，物业服务事项、服务标准、收费项目、收费标准等相关信息。提供特约服务的，公示特约服务项目、服务标准及收费标准。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3.客户服务场所工作时间，工作日不少于8小时，其他时间设置值班人员。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4.设置并公示24小时服务电话。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left="120" w:right="31" w:rightChars="15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1.2人员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1.从业人员按照相关规定取得职业资格证书。专业人员具有专业技术资格证书且有一定工作经验。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2.从业人员佩戴标志。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3.配备物业服务项目负责人，房屋建筑安全管理员。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4.项目负责人具有2年以上物业服务企业或相关企业管理工作经历，为本市项目负责人信用信息档案登记在册人员。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left="120" w:right="31" w:rightChars="15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position w:val="-3"/>
                <w:sz w:val="32"/>
                <w:szCs w:val="32"/>
              </w:rPr>
              <w:t>1.3制度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1.建立共用部位及共用设施设备维修养护、消防安全、安全防范、绿化养护、环境卫生、公共秩序维护等管理制度。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2.建立突发公共事件应急预案。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3.建立物业服务工作记录。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1.4档案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1.建立物业管理档案。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2.配备档案管理人员。</w:t>
            </w:r>
          </w:p>
          <w:p>
            <w:pPr>
              <w:tabs>
                <w:tab w:val="left" w:pos="185"/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left="760" w:right="34" w:rightChars="16" w:hanging="640"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1.5标志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 xml:space="preserve"> 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设置安全警示、作业施工警示和温馨提示等物业服务标志。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1.6客户服务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1.每年第一季度公示上一年度物业服务合同履行情 况、收支情况和本年度收支预算。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2.涉及业主或使用人正常生活的重要物业服务事项，应在主要出入口、各楼单元门内张贴通知，履行告知义务。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3.对违反治安、规划、环保等方面法律法规规定的行为，应劝阻并报告相关行政主管部门。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4.水、电急修20分钟内、其它报修按双方约定时间到达现场；由专项服务企业负责的设备设施应在30分钟内告知。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5.对业主或使用人对物业服务的投诉进行核实，查明属实的及时整改。业主或使用人提出的意见、建议、投诉在3个工作日内回复。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6.每年公开征集1次物业服务意见，公示整改情况。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7.配合相关部门进行公益性宣传。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8.按规定投保物业共用部位、共用设施设备及公众责任保险。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1.7专项服务委托管理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1.签订专项服务委托合同，明确各方权利义务。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2.专项服务企业应符合相关行政主管部门的资质要 求；操作人员应持有相应的职业资格证书。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3.专项服务企业人员佩戴标志。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4.对专项服务进行监督及评价。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共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用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部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位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共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用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设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施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设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备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运行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、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 w:ascii="宋体" w:hAnsi="宋体" w:cs="MingLiU"/>
                <w:b/>
                <w:spacing w:val="1"/>
                <w:kern w:val="0"/>
                <w:sz w:val="44"/>
                <w:szCs w:val="44"/>
              </w:rPr>
              <w:t>维修养护</w:t>
            </w:r>
          </w:p>
        </w:tc>
        <w:tc>
          <w:tcPr>
            <w:tcW w:w="9072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2.1综合管理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1.建立房屋及共用设施设备的基础档案。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2.运行、检查、维修养护记录应每月归档。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3.组织实施房屋使用安全情况评估检查。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4.共用部位检查中发现的问题，应按照责任范围编制修缮计划，并按计划组织修缮；共用设施设备运行中出现的故障及检查中发现的问题，应即时组织修复。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5.每年第四季度制订下一年度维修养护计划。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6.特种设备按照有关规定运行、维修养护和定期检测。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7.雷电、强降水、大风、沙尘暴等极端天气前后进行检查并落实防范措施。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8.设备机房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（1）每月清洁1次，保持室内无杂物。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（2）设置挡鼠板、鼠药盒或粘鼠板。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（3）在明显易取位置配备消防器材，确保完好有效。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（4）设施设备标志、标牌齐全。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（5）张贴或悬挂相关制度、证书。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2.2共用部位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1.房屋结构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每半年检查1次梁、板、柱等结构构件，外观出现变形、 开裂等现象时，应申请房屋安全鉴定，同时采取必要的防护措施。按照鉴定结果组织修缮。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2.建筑部件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（1）每季度检查1次外墙贴饰面或抹灰、屋檐、阳台雨罩、空调室外机支撑构件等。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（2）每季度巡查1次共用部位的门、窗、玻璃等，对破损部位应及时修复。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（3）每年检查1次共用部位的室内地面、墙面、天棚；室外屋面、散水等。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（4）每年上汛前和强降雨后检查屋面防水和雨落管等。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3.附属构筑物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（1）每季度巡查1次道路、场地、阶梯及扶手、侧石、管井、沟渠等，及时修复破损路面、井盖。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（2）每半年检查1次雨、污水管井等。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（3）每季度巡查1次大门、围墙、围栏等。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（4）每季度巡查1次休闲椅、凉亭、雕塑、景观小品等。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（5）每年检测1次防雷装置。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position w:val="-3"/>
                <w:sz w:val="32"/>
                <w:szCs w:val="32"/>
              </w:rPr>
              <w:t>2.3二次供水设施（有此服务项目按照该标准执行）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1.按照卫生防疫部门的要求使用消毒设备，水箱按规定清洗消毒、水质化验，水质符合国家生活饮用水卫生标准。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2.每日巡视1次水箱间、水泵房，检查设备运行状况。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3.每半年切换1次备用水泵。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4.每年检查1次水泵润滑情况，补充或更换润滑剂；每年养护1次水泵。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5.每年对供水管道、阀门等进行除锈、刷漆，每年入冬前对暴露管道进行防冻处理。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6.水箱、蓄水池盖板应保持完好并加锁，钥匙由专人保管；溢流管口、透气口应安装金属防护网并保持完好。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position w:val="-3"/>
                <w:sz w:val="32"/>
                <w:szCs w:val="32"/>
              </w:rPr>
              <w:t>2.4排水系统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1.排水设施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每年上汛前对雨、污水井、屋面雨水口等设施进行检查，组织清理、疏通。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2.污水泵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汛期每日巡视1次，平时每月巡视1次，检查设备运行状态；每月进行1次手动启动测试；每年养护1次。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3.化粪池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每半年检查1次化粪池；组织安排清掏。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2.6照明和电气设备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1.楼内照明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每周巡视1次，一般故障1日内修复；复杂故障1周内修复。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2.楼外照明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每2周巡视1次，一般故障3日内修复；复杂故障2周内修复。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3.应急照明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每日巡视1次，发现故障及时修复。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4.低压柜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每周巡视2次设备运行状况；每年养护1次，养护内容包括紧固、检测、清扫。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5.低压配电箱和线路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每季度巡视1次设备运行状况；每年养护1次，养护内容包括紧固、检测、清扫。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6.控制柜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每季度巡视1次设备运行状况；每年养护1次，养护内容包括紧固、检测、调试、清扫。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7.发电机（有此服务项目按照该标准执行）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每季度试运行1次，保证运行正常。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8.配电室、楼层配电间 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防小动物措施完备；穿墙线槽周边封堵严密；锁具完好。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2.7安全防范系统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1.报警控制管理主机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每日巡查1次，检查设备运行状态；每月表面清洁1次； 每年内部除尘1次。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2.对讲门口机（有此服务项目按照该标准执行）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每季度检查1次按键、显示屏等；每季度表面清洁1次； 每年内部除尘1次。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3.网络控制箱（由运营商进行检查）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每年检查1次外观、接线；每年表面清洁1次；每年内部除尘1次。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4.红外对射探测器（有此服务项目按照该标准执行）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每年检查1次接线、探测范围、防水状况等；每半年表面清洁1次；每年内部除尘1次。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5.图像采集设备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每周检查1次监视画面、录像功能；每月表面清洁1次； 每年内部除尘1次。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6.摄像机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每季度检查1次聚焦、红外夜视、接线、防水状况等，进行相应的调校；每季度镜头表面清洁1次；每年防护罩内部除尘1次。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7.解码器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每年检查1次防雨罩、接线等，进行相应的调试；每年表面清洁1次；每年内部除尘1次。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8.云台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每年检查1次运转、接线，进行清晰度调校；每年表面清洁 1次；每年转动部位上润滑油1次。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9.巡更点（有此服务项目按照该标准执行）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每半年检查1次外观，发现故障隐患，即时排除；每半年表面清洁1次；每日存储巡更记录。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10.读卡器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每季度检查1次外观；每季度表面清洁1次，查看防水 状况。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11.电磁锁门锁（有此服务项目按照该标准执行）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每季度检查1次吸力、外观、接线。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12.出门按钮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每季度检查1次开锁功能、接线。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line="56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2.8电梯（有此服务项目按照该标准执行）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1.电梯在投入使用前或者投入使用后30日内，应向相关行政主管部门办理使用登记。登记标志应置于或附着于电梯的显著位置。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2.在电梯安全检验合格有效期届满前1个月，应向电 梯检验检测机构提出定期检验申请。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3.日常维护保养和定期检查中发现的问题应及时排 除；电梯的安全附件、安全保护装置、测量调控装置及有关 附属仪器仪表应每年进行校验、检修。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应与有资质的电梯制造、安装、改造、维修单位签订电梯维保合同，约定维护保养的内容、要求、频次、期限以及双方的权利、义务与责任。对专项服务企业的维修保养工作进行监督，对专项服务企业定期检修计划的落实情况进行监督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5.配备电梯安全管理人员。定期对电梯安全管理人员 进行特种设备安全培训，保证其具备必要的安全知识。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6.制定电梯应急救援预案并定期演练。发生电梯困人 或其它重大事件时，应立即启动事故应急预案，组织救援，并及时向相关行政主管部门报告。物业服务人员应在15分钟内到达现场，专业维修人员应在30分钟内到达现场。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position w:val="-3"/>
                <w:sz w:val="32"/>
                <w:szCs w:val="32"/>
              </w:rPr>
              <w:t>2.9水景（有此服务项目按照该标准执行）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1.启用前进行防渗漏和防漏电检查，防止渗漏，保证用电安全。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2.使用期间每周巡查 1次喷水池、水泵及其附属设施， 每季度检查 1次防漏电设施。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3.设置必要的安全警示标志。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4.水质符合卫生要求。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消防安全防范</w:t>
            </w:r>
          </w:p>
        </w:tc>
        <w:tc>
          <w:tcPr>
            <w:tcW w:w="9072" w:type="dxa"/>
            <w:vAlign w:val="top"/>
          </w:tcPr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3.1综合管理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1.建立、落实消防安全责任制，明确各级岗位的消防安全职责。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2.成立义务消防队，配备必要的消防器材，相关人员掌握消防基本知识和技能；每年组织1次有员工、业主或使用人参加的消防演练。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3.设置消防安全宣传专栏，组织开展经常性的消防安全宣传教育；每年对员工进行1次消防安全培训。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4.每日防火巡查1次，每月防火检查1次，按照规定每年检测1次建筑消防设施；保障疏散通道、安全出口、消防车通道和消防设施、器材符合消防安全要求。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5.发现消防安全违法行为和火灾隐患，立即纠正、排除；无法立即纠正、排除的，应向公安机关消防机构报告。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6.消防控制室设专人24小时值班，每班2人，及时处理各类报警、故障信息。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7.发生火情立即报警，组织扑救初起火灾，疏散遇险人员，协助配合公安机关消防机构工作。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3.2消防设施设备维修养护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1.火灾自动报警系统（有此服务项目按照该标准执行）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（1）火灾报警控制器、联动控制设备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每日巡查1次设备运行情况，保证24小时连续正常运行；每月检查测试1次报警控制器、联动控制设备的报警、联动控制、显示、打印等功能；每年机柜内部除尘1次。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（2）火灾报警探测器、手动报警按钮、警报装置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每月抽查测试1次火灾报警探测器、手动报警按钮、警报装置的报警、警报功能；探测器投入运行2年后，每隔3年由专业清洗单位清洗1次。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（3）备用电源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每月检测切换1次主、备电源；每季度备用电源、蓄电池充放电试验1次。</w:t>
            </w:r>
          </w:p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2.消防广播系统（有此服务项目按照该标准执行）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每月检查测试1次消防专用电话、重要场所的对讲电话、 对讲电话主机、播音设备、扩音器、扬声器的联动、强制切换功能，并测试音量；每年机柜内部除尘1次；每2年机柜内的设备内部除尘1次。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3.防排烟系统（有此服务项目按照该标准执行）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每月检查测试1次防排烟风机、排烟阀的联动功能，核对风速；每年养护1次防排烟风机、电源控制柜、风口、排烟阀等。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4.防火分隔设施（有此服务项目按照该标准执行）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每月抽查测试1次防火门的启闭功能、防火卷帘的手动 和自动控制功能、电动防火阀的联动关闭功能；每年在防火卷帘门的电机转动、齿轮链条传动部位补充1次润滑油，电控箱内部除尘1次；每年检查维护1次防火门附件，在门的转动部位补充1次润滑油。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5.水灭火系统（有此服务项目按照该标准执行）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消防泵、喷淋泵每月盘车1次，每半年检查1次润滑情况；每年养护1次室内、外消火栓。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6.应急照明、疏散指示标志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每月测试切断正常供电1次，测量1次照度和供电时间。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7.消防电梯（有此服务项目按照该标准执行）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每月检查测试1次按钮迫降和联动控制功能，轿箱内消防电话。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8.灭火器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每日巡查1次灭火器数量、位置情况，每月检查核对1次灭火器选型、压力和有效期，保证处于完好状态。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绿化养护</w:t>
            </w:r>
          </w:p>
        </w:tc>
        <w:tc>
          <w:tcPr>
            <w:tcW w:w="9072" w:type="dxa"/>
            <w:vAlign w:val="top"/>
          </w:tcPr>
          <w:p>
            <w:pPr>
              <w:tabs>
                <w:tab w:val="left" w:pos="176"/>
                <w:tab w:val="left" w:pos="1210"/>
              </w:tabs>
              <w:autoSpaceDE w:val="0"/>
              <w:autoSpaceDN w:val="0"/>
              <w:adjustRightInd w:val="0"/>
              <w:spacing w:line="500" w:lineRule="exact"/>
              <w:ind w:right="34" w:rightChars="16" w:firstLine="179" w:firstLineChars="5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4.1基本要求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1.乔木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植株保存率高于85%，年成活率高于85%。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2.灌木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植株保存率高于85%，年成活率高于85%。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3.绿篱和色块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植株保存率高于85%，年成活率高于85%。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4.地被和花坛植物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花坛植物死亡率低于15%。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5.草坪保证基本成活。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left="120" w:right="-2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position w:val="-3"/>
                <w:sz w:val="32"/>
                <w:szCs w:val="32"/>
              </w:rPr>
              <w:t>4.2绿化养护内容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1.灌溉 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根据天气、土壤和植物生长状况合理灌溉，不出现严重旱涝现象。一般植物在萌芽前、春季干旱期间、入冬前浇水1次。 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2.施肥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根据植物生长情况施肥，一般乔木每3年至4年施肥1次；灌木每1年至2年施肥1次；地被和草坪植物每年开春后施肥1 次；花坛植物根据生长情况进行追肥；生长不良的 植物适当增加施肥频次。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3.病虫害防治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植物生长季每月检查1次病虫害发生情况并进行防治，不出现严重病虫害现象。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4.整形修剪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一般乔木每3年修剪1次；灌木每2年修剪1次；绿篱和色块每年生长季节或萌芽前、入冬后修剪1次；冷季型草坪生长季节每月修剪1次，全年至少修剪5次。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5.除草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每年全面除草1次，重点绿地增加除草次数，出现杂草的绿地面积不超过总绿地面积的 30%。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6.垃圾处理 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绿化作业产生的垃圾和绿地内的垃圾杂物每周处理1次。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left="120" w:right="-2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4.3工作检查和记录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生长季节每月检查1次植物生长情况。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 4.4 绿地用途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维持绿地用途无改变，无践踏、占用。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left="120" w:right="-2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4.5 绿地清洁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维持绿地清洁，无纸屑、烟头、白色垃圾等垃圾杂物。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环境卫生</w:t>
            </w:r>
          </w:p>
        </w:tc>
        <w:tc>
          <w:tcPr>
            <w:tcW w:w="9072" w:type="dxa"/>
            <w:vAlign w:val="top"/>
          </w:tcPr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left="120" w:right="-2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5.1生活垃圾的收集、清运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1.按有关规定和标准实行垃圾分类。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2.配置密闭式垃圾收集容器，有分类标志。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3.每月至少清洗1次垃圾收集容器。外观洁净，周围无散落垃圾污水。蝇、蚊孳生季节每5日喷洒1次杀虫药，无蚊蝇孳生、苍蝇乱飞现象。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4.每日清运1次生活垃圾到指定的垃圾消纳场所，不得乱堆乱倒，做到日产日清，无清运遗漏。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left="120" w:right="-2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5.2物业共用部分清洁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1.楼内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（1）大堂、一层候梯厅（带电梯）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每日清扫1次、每周清拖1次大堂、一层候梯厅地面每月擦拭1次信报箱、大堂玻璃。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（2）楼道、楼梯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每周清扫1次、每季度清拖1次楼道、楼梯地面。每季度擦拭1次楼梯扶手、栏杆、窗台、防火门、消火栓、指示牌等共用设施。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2.电梯轿箱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每日擦拭1次电梯轿厢门、面板。 每日清拖1次轿厢地面。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3.天台、屋面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雨季前清扫1次天台、屋面。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4.楼外道路及设施 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每日清扫1次楼外道路。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5.水景（有此服务项目按照该标准执行）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根据水质情况进行消毒净化处理。使用期间每周清洁1次水面；每年清洁2次水池池底。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6.有害生物预防和控制 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配合相关部门进行有害生物的预防和控制。 投放药物应预先告知，投药位置有明显标志。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7.雨雪天气清洁 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雨后对小区内主路、干路积水进行清扫。降雪时，及时清扫积雪，铲除结冰。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8.电线杆、护栏、树木、自行车停放架、小棚无白色垃圾和挂浮杂物。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position w:val="-3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9.房屋楼道、小区共用部位无擅自占用和堆放杂物，无擅自张贴喷涂小广告。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left="120" w:right="-2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5.3工作检查和记录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每日抽查1次清洁质量，做好记录。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ind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 5.4保洁人员岗位责任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1.保洁员在各自责任区域进行保洁作业，清扫无漏扫、甩段，责任区域交接处压茬清扫。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2.清扫保洁符合工作要求，作业时不扎堆聊天。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 5.5卫生设施设备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清洁工具、设施设备清单及设施点位图清楚，垃圾容器分类配置合理；清洁工具、设施设备保持清洁；清洁剂、药剂符合环保要求，并有专人管理。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5.6商户卫生管理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1.商户详情登记造册。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2.小区内无乱设摊点，无占道经营。无随意乱扔垃圾，无私自设置的广告牌和乱贴乱画现象。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公共秩序维护</w:t>
            </w:r>
          </w:p>
        </w:tc>
        <w:tc>
          <w:tcPr>
            <w:tcW w:w="9072" w:type="dxa"/>
            <w:vAlign w:val="top"/>
          </w:tcPr>
          <w:p>
            <w:pPr>
              <w:tabs>
                <w:tab w:val="left" w:pos="1220"/>
                <w:tab w:val="left" w:pos="8114"/>
              </w:tabs>
              <w:autoSpaceDE w:val="0"/>
              <w:autoSpaceDN w:val="0"/>
              <w:adjustRightInd w:val="0"/>
              <w:spacing w:line="500" w:lineRule="exact"/>
              <w:ind w:right="34" w:rightChars="16" w:firstLine="160" w:firstLineChars="5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6.1小区封闭式管理，配备停车起落杆，主要出入口有人值守，有临时出入车辆记录。</w:t>
            </w:r>
          </w:p>
          <w:p>
            <w:pPr>
              <w:tabs>
                <w:tab w:val="left" w:pos="1220"/>
                <w:tab w:val="left" w:pos="8114"/>
              </w:tabs>
              <w:autoSpaceDE w:val="0"/>
              <w:autoSpaceDN w:val="0"/>
              <w:adjustRightInd w:val="0"/>
              <w:spacing w:line="500" w:lineRule="exact"/>
              <w:ind w:right="34" w:rightChars="16" w:firstLine="160" w:firstLineChars="5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position w:val="-2"/>
                <w:sz w:val="32"/>
                <w:szCs w:val="32"/>
              </w:rPr>
              <w:t>6.2制定巡查路线</w:t>
            </w:r>
            <w:r>
              <w:rPr>
                <w:rFonts w:hint="eastAsia" w:ascii="仿宋_GB2312" w:hAnsi="宋体" w:eastAsia="仿宋_GB2312" w:cs="MingLiU"/>
                <w:spacing w:val="-5"/>
                <w:kern w:val="0"/>
                <w:position w:val="-2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MingLiU"/>
                <w:kern w:val="0"/>
                <w:position w:val="-2"/>
                <w:sz w:val="32"/>
                <w:szCs w:val="32"/>
              </w:rPr>
              <w:t>巡视检查并做好记录</w:t>
            </w:r>
            <w:r>
              <w:rPr>
                <w:rFonts w:hint="eastAsia" w:ascii="仿宋_GB2312" w:hAnsi="宋体" w:eastAsia="仿宋_GB2312" w:cs="MingLiU"/>
                <w:spacing w:val="-5"/>
                <w:kern w:val="0"/>
                <w:position w:val="-2"/>
                <w:sz w:val="32"/>
                <w:szCs w:val="32"/>
              </w:rPr>
              <w:t>。</w:t>
            </w:r>
            <w:r>
              <w:rPr>
                <w:rFonts w:hint="eastAsia" w:ascii="仿宋_GB2312" w:hAnsi="宋体" w:eastAsia="仿宋_GB2312" w:cs="MingLiU"/>
                <w:kern w:val="0"/>
                <w:position w:val="-2"/>
                <w:sz w:val="32"/>
                <w:szCs w:val="32"/>
              </w:rPr>
              <w:t>6</w:t>
            </w:r>
            <w:r>
              <w:rPr>
                <w:rFonts w:hint="eastAsia" w:ascii="仿宋_GB2312" w:hAnsi="宋体" w:eastAsia="仿宋_GB2312" w:cs="MingLiU"/>
                <w:spacing w:val="-6"/>
                <w:kern w:val="0"/>
                <w:position w:val="-2"/>
                <w:sz w:val="32"/>
                <w:szCs w:val="32"/>
              </w:rPr>
              <w:t>:</w:t>
            </w:r>
            <w:r>
              <w:rPr>
                <w:rFonts w:hint="eastAsia" w:ascii="仿宋_GB2312" w:hAnsi="宋体" w:eastAsia="仿宋_GB2312" w:cs="MingLiU"/>
                <w:kern w:val="0"/>
                <w:position w:val="-2"/>
                <w:sz w:val="32"/>
                <w:szCs w:val="32"/>
              </w:rPr>
              <w:t>00至22:</w:t>
            </w:r>
            <w:r>
              <w:rPr>
                <w:rFonts w:hint="eastAsia" w:ascii="仿宋_GB2312" w:hAnsi="宋体" w:eastAsia="仿宋_GB2312" w:cs="MingLiU"/>
                <w:spacing w:val="-1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MingLiU"/>
                <w:spacing w:val="-1"/>
                <w:kern w:val="0"/>
                <w:sz w:val="32"/>
                <w:szCs w:val="32"/>
              </w:rPr>
              <w:t>巡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视1</w:t>
            </w:r>
            <w:r>
              <w:rPr>
                <w:rFonts w:hint="eastAsia" w:ascii="仿宋_GB2312" w:hAnsi="宋体" w:eastAsia="仿宋_GB2312" w:cs="MingLiU"/>
                <w:spacing w:val="-1"/>
                <w:kern w:val="0"/>
                <w:sz w:val="32"/>
                <w:szCs w:val="32"/>
              </w:rPr>
              <w:t>次，22:0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MingLiU"/>
                <w:spacing w:val="-1"/>
                <w:kern w:val="0"/>
                <w:sz w:val="32"/>
                <w:szCs w:val="32"/>
              </w:rPr>
              <w:t>至次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 w:cs="MingLiU"/>
                <w:spacing w:val="1"/>
                <w:kern w:val="0"/>
                <w:sz w:val="32"/>
                <w:szCs w:val="32"/>
              </w:rPr>
              <w:t>6:</w:t>
            </w:r>
            <w:r>
              <w:rPr>
                <w:rFonts w:hint="eastAsia" w:ascii="仿宋_GB2312" w:hAnsi="宋体" w:eastAsia="仿宋_GB2312" w:cs="MingLiU"/>
                <w:spacing w:val="-1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MingLiU"/>
                <w:spacing w:val="-1"/>
                <w:kern w:val="0"/>
                <w:sz w:val="32"/>
                <w:szCs w:val="32"/>
              </w:rPr>
              <w:t>巡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视1</w:t>
            </w:r>
            <w:r>
              <w:rPr>
                <w:rFonts w:hint="eastAsia" w:ascii="仿宋_GB2312" w:hAnsi="宋体" w:eastAsia="仿宋_GB2312" w:cs="MingLiU"/>
                <w:spacing w:val="-1"/>
                <w:kern w:val="0"/>
                <w:sz w:val="32"/>
                <w:szCs w:val="32"/>
              </w:rPr>
              <w:t>次。</w:t>
            </w:r>
          </w:p>
          <w:p>
            <w:pPr>
              <w:tabs>
                <w:tab w:val="left" w:pos="1220"/>
                <w:tab w:val="left" w:pos="8114"/>
              </w:tabs>
              <w:autoSpaceDE w:val="0"/>
              <w:autoSpaceDN w:val="0"/>
              <w:adjustRightInd w:val="0"/>
              <w:spacing w:line="50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6.3制定小区停车管理规定，有专人对本小区及外来机动车辆进行有序疏导。巡视检查停车场，停车场、停车位有明显标记，边线清晰，车位使用正常，维护道路、场地使用秩序。</w:t>
            </w:r>
          </w:p>
          <w:p>
            <w:pPr>
              <w:tabs>
                <w:tab w:val="left" w:pos="1220"/>
                <w:tab w:val="left" w:pos="8114"/>
              </w:tabs>
              <w:autoSpaceDE w:val="0"/>
              <w:autoSpaceDN w:val="0"/>
              <w:adjustRightInd w:val="0"/>
              <w:spacing w:line="50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6.4与业主签订停车管理服务协议，有固定车辆登记表及出入证发放记录，机动车辆凭证出入。</w:t>
            </w:r>
          </w:p>
          <w:p>
            <w:pPr>
              <w:tabs>
                <w:tab w:val="left" w:pos="1220"/>
                <w:tab w:val="left" w:pos="8114"/>
              </w:tabs>
              <w:autoSpaceDE w:val="0"/>
              <w:autoSpaceDN w:val="0"/>
              <w:adjustRightInd w:val="0"/>
              <w:spacing w:line="50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6.5安防控制室设专人24小时值守</w:t>
            </w:r>
            <w:r>
              <w:rPr>
                <w:rFonts w:hint="eastAsia" w:ascii="仿宋_GB2312" w:hAnsi="宋体" w:eastAsia="仿宋_GB2312" w:cs="MingLiU"/>
                <w:spacing w:val="-7"/>
                <w:kern w:val="0"/>
                <w:sz w:val="32"/>
                <w:szCs w:val="32"/>
              </w:rPr>
              <w:t>；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监控影像资料</w:t>
            </w:r>
            <w:r>
              <w:rPr>
                <w:rFonts w:hint="eastAsia" w:ascii="仿宋_GB2312" w:hAnsi="宋体" w:eastAsia="仿宋_GB2312" w:cs="MingLiU"/>
                <w:spacing w:val="-8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报警记录应留存30日备查。</w:t>
            </w:r>
          </w:p>
          <w:p>
            <w:pPr>
              <w:tabs>
                <w:tab w:val="left" w:pos="1220"/>
                <w:tab w:val="left" w:pos="8114"/>
              </w:tabs>
              <w:autoSpaceDE w:val="0"/>
              <w:autoSpaceDN w:val="0"/>
              <w:adjustRightInd w:val="0"/>
              <w:spacing w:line="50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position w:val="-3"/>
                <w:sz w:val="32"/>
                <w:szCs w:val="32"/>
              </w:rPr>
              <w:t>6.6</w:t>
            </w:r>
            <w:r>
              <w:rPr>
                <w:rFonts w:hint="eastAsia" w:ascii="仿宋_GB2312" w:hAnsi="宋体" w:eastAsia="仿宋_GB2312"/>
                <w:kern w:val="0"/>
                <w:position w:val="-3"/>
                <w:sz w:val="32"/>
                <w:szCs w:val="32"/>
              </w:rPr>
              <w:t>遇突发事件，及时采取应对措施，</w:t>
            </w:r>
            <w:r>
              <w:rPr>
                <w:rFonts w:hint="eastAsia" w:ascii="仿宋_GB2312" w:hAnsi="宋体" w:eastAsia="仿宋_GB2312" w:cs="MingLiU"/>
                <w:kern w:val="0"/>
                <w:position w:val="-3"/>
                <w:sz w:val="32"/>
                <w:szCs w:val="32"/>
              </w:rPr>
              <w:t>对违法行为立即报警并保护现场，对违法行为立即报警，协助相关部门处理。</w:t>
            </w:r>
          </w:p>
          <w:p>
            <w:pPr>
              <w:tabs>
                <w:tab w:val="left" w:pos="1220"/>
                <w:tab w:val="left" w:pos="8114"/>
              </w:tabs>
              <w:autoSpaceDE w:val="0"/>
              <w:autoSpaceDN w:val="0"/>
              <w:adjustRightInd w:val="0"/>
              <w:spacing w:line="50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6.7记录与档案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1.各项工作记录完整有效。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firstLine="640" w:firstLineChars="200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2.档案齐全。</w:t>
            </w:r>
          </w:p>
          <w:p>
            <w:pPr>
              <w:tabs>
                <w:tab w:val="left" w:pos="1220"/>
                <w:tab w:val="left" w:pos="8114"/>
              </w:tabs>
              <w:autoSpaceDE w:val="0"/>
              <w:autoSpaceDN w:val="0"/>
              <w:adjustRightInd w:val="0"/>
              <w:spacing w:line="500" w:lineRule="exact"/>
              <w:ind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 6.8小区主干道路畅通，车辆停放有序，无乱停乱放，无占用消防通道。</w:t>
            </w:r>
          </w:p>
          <w:p>
            <w:pPr>
              <w:tabs>
                <w:tab w:val="left" w:pos="1220"/>
                <w:tab w:val="left" w:pos="8114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 xml:space="preserve"> 6.9违章建筑</w:t>
            </w:r>
          </w:p>
          <w:p>
            <w:pPr>
              <w:tabs>
                <w:tab w:val="left" w:pos="1220"/>
                <w:tab w:val="left" w:pos="8114"/>
              </w:tabs>
              <w:autoSpaceDE w:val="0"/>
              <w:autoSpaceDN w:val="0"/>
              <w:adjustRightInd w:val="0"/>
              <w:spacing w:line="500" w:lineRule="exact"/>
              <w:ind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物业服务企业无违反规划和擅自改变房屋用途的行为，对业主或使用人违规行为进行劝阻，劝阻无果的及时报告相关部门。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装饰装修管理</w:t>
            </w:r>
          </w:p>
        </w:tc>
        <w:tc>
          <w:tcPr>
            <w:tcW w:w="9072" w:type="dxa"/>
            <w:vAlign w:val="top"/>
          </w:tcPr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7.1建立装饰装修管理服务制度。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left="121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position w:val="-3"/>
                <w:sz w:val="32"/>
                <w:szCs w:val="32"/>
              </w:rPr>
              <w:t>7.2建立装饰装修管理档案。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left="120" w:right="34" w:rightChars="16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spacing w:val="-1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_GB2312" w:hAnsi="宋体" w:eastAsia="仿宋_GB2312" w:cs="MingLiU"/>
                <w:spacing w:val="1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MingLiU"/>
                <w:spacing w:val="6"/>
                <w:kern w:val="0"/>
                <w:sz w:val="32"/>
                <w:szCs w:val="32"/>
              </w:rPr>
              <w:t>受理业主或使用人的装饰装修申报登记，与业主或</w:t>
            </w:r>
            <w:r>
              <w:rPr>
                <w:rFonts w:hint="eastAsia" w:ascii="仿宋_GB2312" w:hAnsi="宋体" w:eastAsia="仿宋_GB2312" w:cs="MingLiU"/>
                <w:spacing w:val="12"/>
                <w:kern w:val="0"/>
                <w:sz w:val="32"/>
                <w:szCs w:val="32"/>
              </w:rPr>
              <w:t>使用人、装饰装修企业签订住宅室内装饰装修管理服务协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议</w:t>
            </w:r>
            <w:r>
              <w:rPr>
                <w:rFonts w:hint="eastAsia" w:ascii="仿宋_GB2312" w:hAnsi="宋体" w:eastAsia="仿宋_GB2312" w:cs="MingLiU"/>
                <w:spacing w:val="-14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告知业主或使用人在</w:t>
            </w:r>
            <w:r>
              <w:rPr>
                <w:rFonts w:hint="eastAsia" w:ascii="仿宋_GB2312" w:hAnsi="宋体" w:eastAsia="仿宋_GB2312" w:cs="MingLiU"/>
                <w:spacing w:val="-2"/>
                <w:kern w:val="0"/>
                <w:sz w:val="32"/>
                <w:szCs w:val="32"/>
              </w:rPr>
              <w:t>装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饰装修工程中的禁止行为和注意事项。</w:t>
            </w:r>
          </w:p>
          <w:p>
            <w:pPr>
              <w:tabs>
                <w:tab w:val="left" w:pos="1220"/>
              </w:tabs>
              <w:autoSpaceDE w:val="0"/>
              <w:autoSpaceDN w:val="0"/>
              <w:adjustRightInd w:val="0"/>
              <w:spacing w:line="50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7.4装饰装修期间每日巡查1次现场，发现业主或使用人未申报登记或者有违法违规行为的</w:t>
            </w:r>
            <w:r>
              <w:rPr>
                <w:rFonts w:hint="eastAsia" w:ascii="仿宋_GB2312" w:hAnsi="宋体" w:eastAsia="仿宋_GB2312" w:cs="MingLiU"/>
                <w:spacing w:val="-7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应立即劝阻</w:t>
            </w:r>
            <w:r>
              <w:rPr>
                <w:rFonts w:hint="eastAsia" w:ascii="仿宋_GB2312" w:hAnsi="宋体" w:eastAsia="仿宋_GB2312" w:cs="MingLiU"/>
                <w:spacing w:val="-7"/>
                <w:kern w:val="0"/>
                <w:sz w:val="32"/>
                <w:szCs w:val="32"/>
              </w:rPr>
              <w:t>；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拒不改正的</w:t>
            </w:r>
            <w:r>
              <w:rPr>
                <w:rFonts w:hint="eastAsia" w:ascii="仿宋_GB2312" w:hAnsi="宋体" w:eastAsia="仿宋_GB2312" w:cs="MingLiU"/>
                <w:spacing w:val="-6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报告相关行政主管部门及业主</w:t>
            </w:r>
            <w:r>
              <w:rPr>
                <w:rFonts w:hint="eastAsia" w:ascii="仿宋_GB2312" w:hAnsi="宋体" w:eastAsia="仿宋_GB2312" w:cs="MingLiU"/>
                <w:spacing w:val="-5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业主委员会</w:t>
            </w:r>
            <w:r>
              <w:rPr>
                <w:rFonts w:hint="eastAsia" w:ascii="仿宋_GB2312" w:hAnsi="宋体" w:eastAsia="仿宋_GB2312" w:cs="MingLiU"/>
                <w:spacing w:val="-5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并在物业管理区域内公示。</w:t>
            </w:r>
          </w:p>
          <w:p>
            <w:pPr>
              <w:tabs>
                <w:tab w:val="left" w:pos="1240"/>
              </w:tabs>
              <w:autoSpaceDE w:val="0"/>
              <w:autoSpaceDN w:val="0"/>
              <w:adjustRightInd w:val="0"/>
              <w:spacing w:line="500" w:lineRule="exact"/>
              <w:ind w:left="120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spacing w:val="-1"/>
                <w:kern w:val="0"/>
                <w:position w:val="-3"/>
                <w:sz w:val="32"/>
                <w:szCs w:val="32"/>
              </w:rPr>
              <w:t>7</w:t>
            </w:r>
            <w:r>
              <w:rPr>
                <w:rFonts w:hint="eastAsia" w:ascii="仿宋_GB2312" w:hAnsi="宋体" w:eastAsia="仿宋_GB2312" w:cs="MingLiU"/>
                <w:spacing w:val="1"/>
                <w:kern w:val="0"/>
                <w:position w:val="-3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MingLiU"/>
                <w:kern w:val="0"/>
                <w:position w:val="-3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MingLiU"/>
                <w:spacing w:val="6"/>
                <w:kern w:val="0"/>
                <w:position w:val="-3"/>
                <w:sz w:val="32"/>
                <w:szCs w:val="32"/>
              </w:rPr>
              <w:t>装饰装修结束后进行检查，对违反住宅室内装饰装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修管理服务协议的当事人按照约定处理。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left="174" w:leftChars="83" w:right="34" w:rightChars="16"/>
              <w:jc w:val="left"/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7.6委托清运装修垃圾的，应在指定地点临时堆放，采取围挡、遮盖措施，在2日内清运。</w:t>
            </w:r>
            <w:r>
              <w:rPr>
                <w:rFonts w:hint="eastAsia" w:ascii="仿宋_GB2312" w:hAnsi="宋体" w:eastAsia="仿宋_GB2312" w:cs="MingLiU"/>
                <w:kern w:val="0"/>
                <w:position w:val="-2"/>
                <w:sz w:val="32"/>
                <w:szCs w:val="32"/>
              </w:rPr>
              <w:t>自行清运装修垃圾的</w:t>
            </w:r>
            <w:r>
              <w:rPr>
                <w:rFonts w:hint="eastAsia" w:ascii="仿宋_GB2312" w:hAnsi="宋体" w:eastAsia="仿宋_GB2312" w:cs="MingLiU"/>
                <w:spacing w:val="-14"/>
                <w:kern w:val="0"/>
                <w:position w:val="-2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MingLiU"/>
                <w:kern w:val="0"/>
                <w:position w:val="-2"/>
                <w:sz w:val="32"/>
                <w:szCs w:val="32"/>
              </w:rPr>
              <w:t>应采用袋装运输或密闭运输的方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式，在2</w:t>
            </w:r>
            <w:r>
              <w:rPr>
                <w:rFonts w:hint="eastAsia" w:ascii="仿宋_GB2312" w:hAnsi="宋体" w:eastAsia="仿宋_GB2312" w:cs="MingLiU"/>
                <w:spacing w:val="-1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 w:cs="MingLiU"/>
                <w:kern w:val="0"/>
                <w:sz w:val="32"/>
                <w:szCs w:val="32"/>
              </w:rPr>
              <w:t>内清运。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12776"/>
    <w:rsid w:val="401127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2016-12-21T07:37:00Z</dcterms:created>
  <dc:creator>banruo</dc:creator>
  <cp:lastModifiedBy>banruo</cp:lastModifiedBy>
  <dcterms:modified xsi:type="dcterms:W3CDTF">2016-12-21T07:38:07Z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