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204" w:rightChars="9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附件</w:t>
      </w:r>
      <w:r>
        <w:rPr>
          <w:rFonts w:ascii="仿宋_GB2312" w:eastAsia="仿宋_GB2312" w:cs="仿宋_GB2312"/>
          <w:sz w:val="28"/>
          <w:szCs w:val="28"/>
          <w:lang w:val="zh-CN"/>
        </w:rPr>
        <w:t>10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</w:t>
      </w:r>
    </w:p>
    <w:p>
      <w:pPr>
        <w:spacing w:line="66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北京市公共租赁住房租金补贴停发通知单</w:t>
      </w:r>
    </w:p>
    <w:bookmarkEnd w:id="0"/>
    <w:p>
      <w:pPr>
        <w:spacing w:line="6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身份证号：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6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公共租赁住房租金补贴资格审核编号：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</w:t>
      </w:r>
    </w:p>
    <w:p>
      <w:pPr>
        <w:spacing w:line="660" w:lineRule="exact"/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根据北京市公共租赁住房租金补贴管理的相关规定，自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月，区县住房保障管理部门停止发放你家庭公共租赁住房租金补贴。</w:t>
      </w:r>
    </w:p>
    <w:p>
      <w:pPr>
        <w:spacing w:line="660" w:lineRule="exact"/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停止发放租金补贴原因：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□申请家庭不再符合公共租赁住房租金补贴资格。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□解除公共租赁住房租赁合同。</w:t>
      </w:r>
    </w:p>
    <w:p>
      <w:pPr>
        <w:spacing w:line="6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</w:t>
      </w:r>
      <w:r>
        <w:rPr>
          <w:rFonts w:hint="eastAsia" w:ascii="仿宋_GB2312" w:eastAsia="仿宋_GB2312"/>
          <w:color w:val="000000"/>
          <w:sz w:val="28"/>
          <w:szCs w:val="28"/>
        </w:rPr>
        <w:t>未按规定进行年度申报。</w:t>
      </w:r>
    </w:p>
    <w:p>
      <w:pPr>
        <w:spacing w:line="6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□其他：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spacing w:line="6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如不服本通知，可以自收到本通知书之日起</w:t>
      </w:r>
      <w:r>
        <w:rPr>
          <w:rFonts w:ascii="仿宋_GB2312" w:hAnsi="宋体" w:eastAsia="仿宋_GB2312"/>
          <w:color w:val="000000"/>
          <w:sz w:val="28"/>
          <w:szCs w:val="28"/>
        </w:rPr>
        <w:t>60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日内向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区（县）人民政府或者北京市住房和城乡建设委员会申请行政复议，也可以在三个月内向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区（县）人民法院提起行政诉讼。</w:t>
      </w:r>
    </w:p>
    <w:p>
      <w:pPr>
        <w:spacing w:line="6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街道（乡镇）住房保障管理部门（盖章）</w:t>
      </w:r>
    </w:p>
    <w:p>
      <w:pPr>
        <w:adjustRightInd w:val="0"/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20" w:lineRule="exact"/>
        <w:rPr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注：该通知单一式三联，第一联交申请人</w:t>
      </w:r>
      <w:r>
        <w:rPr>
          <w:rFonts w:ascii="仿宋_GB2312" w:eastAsia="仿宋_GB2312" w:cs="仿宋_GB2312"/>
          <w:color w:val="000000"/>
          <w:sz w:val="24"/>
          <w:szCs w:val="24"/>
          <w:lang w:val="zh-CN"/>
        </w:rPr>
        <w:t xml:space="preserve">, 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第二联由街道（乡镇）住房保障管理部门留存，第二联由区县住房保障管理部门留存。</w:t>
      </w:r>
    </w:p>
    <w:p/>
    <w:sectPr>
      <w:footerReference r:id="rId3" w:type="default"/>
      <w:pgSz w:w="11906" w:h="16838"/>
      <w:pgMar w:top="2155" w:right="1474" w:bottom="15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C6575"/>
    <w:rsid w:val="3E6C6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2016-11-22T08:51:00Z</dcterms:created>
  <dc:creator>banruo</dc:creator>
  <cp:lastModifiedBy>banruo</cp:lastModifiedBy>
  <dcterms:modified xsi:type="dcterms:W3CDTF">2016-11-22T08:51:29Z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