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北京市</w:t>
      </w:r>
      <w:bookmarkStart w:id="0" w:name="_GoBack"/>
      <w:bookmarkEnd w:id="0"/>
      <w:r>
        <w:rPr>
          <w:rFonts w:hint="eastAsia" w:ascii="宋体" w:hAnsi="宋体" w:eastAsia="宋体" w:cs="宋体"/>
          <w:sz w:val="44"/>
          <w:szCs w:val="44"/>
          <w:lang w:val="en-US" w:eastAsia="zh-CN"/>
        </w:rPr>
        <w:t>数字经济促进条例</w:t>
      </w:r>
    </w:p>
    <w:p>
      <w:pPr>
        <w:bidi w:val="0"/>
        <w:ind w:firstLine="664"/>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（2022年11月25日北京市第十五届人民代表大会常务委员会第四十五次会议通过）</w:t>
      </w:r>
    </w:p>
    <w:p>
      <w:pPr>
        <w:bidi w:val="0"/>
        <w:ind w:firstLine="640"/>
        <w:jc w:val="both"/>
        <w:rPr>
          <w:rFonts w:hint="eastAsia" w:ascii="黑体" w:hAnsi="黑体" w:eastAsia="黑体" w:cs="黑体"/>
          <w:sz w:val="32"/>
          <w:szCs w:val="32"/>
          <w:lang w:val="en-US" w:eastAsia="zh-CN"/>
        </w:rPr>
      </w:pPr>
    </w:p>
    <w:p>
      <w:pPr>
        <w:bidi w:val="0"/>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目录</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第一章　总　则</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第二章　数字基础设施</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第三章　数据资源</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第四章　数字产业化</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第五章　产业数字化</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第六章　智慧城市建设</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第七章　数字经济安全</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第八章　保障措施</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第九章　附　则</w:t>
      </w:r>
    </w:p>
    <w:p>
      <w:pPr>
        <w:rPr>
          <w:rFonts w:hint="eastAsia"/>
        </w:rPr>
      </w:pP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加强数字基础设施建设，培育数据要素市场，推进数字产业化和产业数字化，完善数字经济治理，促进数字经济发展，建设全球数字经济标杆城市，根据有关法律、行政法规，结合本市实际情况，制定本条例。</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本市行政区域内数字经济促进相关活动适用本条例。</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本条例所称数字经济，是指以数据资源为关键要素，以现代信息网络为主要载体，以信息通信技术融合应用、全要素数字化转型为重要推动力，促进公平与效率更加统一的新经济形态。</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促进数字经济发展是本市的重要战略。促进数字经济发展应当遵循创新驱动、融合发展、普惠共享、安全有序、协同共治的原则。</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市、区人民政府应当加强对数字经济促进工作的领导，建立健全推进协调机制，将数字经济发展纳入国民经济和社会发展规划和计划，研究制定促进措施并组织实施，解决数字经济促进工作中的重大问题。</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市经济和信息化部门负责具体组织协调指导全市数字经济促进工作，拟订相关促进规划，推动落实相关促进措施，推进实施重大工程项目；区经济和信息化部门负责本行政区域数字经济促进工作。</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展改革、教育、科技、公安、民政、财政、人力资源和社会保障、城市管理、农业农村、商务、文化和旅游、卫生健康、市场监管、广播电视、体育、统计、金融监管、政务服务、知识产权、网信、人才工作等部门按照职责分工，做好各自领域的数字经济促进工作。</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市经济和信息化部门会同市场监管等有关部门推进数字经济地方标准体系建设，建立健全关键技术、数据治理和安全合规、公共数据管理等领域的地方标准；指导和支持采用先进的数字经济标准。</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鼓励行业协会、产业联盟和龙头企业参与制定数字经济国际标准、国家标准、行业标准和地方标准，自主制定数字经济团体标准和企业标准。</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市统计部门会同经济和信息化部门完善数字经济统计测度和评价体系，开展数字经济评价，定期向社会公布主要统计结果、监测结果和综合评价指数。</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本市为在京单位数字化发展做好服务，鼓励其利用自身优势参与本市数字经济建设；推进京津冀区域数字经济融合发展，在技术创新、基础设施建设、数据流动、推广应用、产业发展等方面深化合作。</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数字基础设施</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市、区人民政府及其有关部门应当按照统筹规划、合理布局、集约高效、绿色低碳的原则，加快建设信息网络基础设施、算力基础设施、新技术基础设施等数字基础设施，推进传统基础设施的数字化改造，推动新型城市基础设施建设，并将数字基础设施建设纳入国民经济和社会发展规划和计划、国土空间规划。相关部门做好能源、土地、市政、交通等方面的保障工作。</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信息网络基础设施建设应当重点支持新一代高速固定宽带和移动通信网络、卫星互联网、量子通信等，形成高速泛在、天地一体、云网融合、安全可控的网络服务体系。</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改建、扩建住宅区和商业楼宇，信息网络基础设施应当与主体工程同时设计、同时施工、同时验收并投入使用。信息网络基础设施运营企业享有公平进入市场的权利，不得实施垄断和不正当竞争行为；用户有权自主选择电信业务经营企业。</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信息网络基础设施管道建设应当统一规划，合理利用城市道路、轨道交通等空间资源，减少和降低对城市道路交通的影响，为信息网络基础设施运营企业提供公平普惠的网络接入服务。</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感知物联网建设应当支持部署低成本、低功耗、高精度、安全可靠的智能化传感器，提高工业制造、农业生产、公共服务、应急管理等领域的物联网覆盖水平。</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支持建设车路协同基础设施，推进道路基础设施、交通标志标识的数字化改造和建设，提高路侧单元与道路交通管控设施的融合接入能力。</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算力基础设施建设应当按照绿色低碳、集约高效的原则，建设城市智能计算集群，协同周边城市共同建设全国一体化算力网络京津冀国家枢纽节点，强化算力统筹、智能调度和多样化供给，提升面向特定场景的边缘计算能力，促进数据、算力、算法和开发平台一体化的生态融合发展。</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支持对新建数据中心实施总量控制、梯度布局、区域协同，对存量数据中心实施优化调整、技改升级。</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新技术基础设施建设应当统筹推进人工智能、区块链、大数据、隐私计算、城市空间操作系统等。支持建设通用算法、底层技术、软硬件开源等共性平台。</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对主要使用财政资金形成的新技术基础设施，项目运营单位应当在保障安全规范的前提下，向社会提供开放共享服务。</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除法律、行政法规另有规定外，数字基础设施建设可以采取政府投资、政企合作、特许经营等多种方式；符合条件的各类市场主体和社会资本，有权平等参与投资、建设和运营。</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数据资源</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本市加强数据资源安全保护和开发利用，促进公共数据开放共享，加快数据要素市场培育，推动数据要素有序流动，提高数据要素配置效率，探索建立数据要素收益分配机制。</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公共数据资源实行统一的目录管理。市经济和信息化部门应当会同有关部门制定公共数据目录编制规范，有关公共机构依照规范及有关管理规定，编制本行业、本部门公共数据目录，并按照要求向市级大数据平台汇聚数据。公共机构应当确保汇聚数据的合法、准确、完整、及时，并探索建立新型数据目录管理方式。</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本条例所称公共机构，包括本市各级国家机关、经依法授权具有管理公共事务职能的组织。本条例所称公共数据，是指公共机构在履行职责和提供公共服务过程中处理的各类数据。</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市人民政府建立全市公共数据共享机制，推动公共数据和相关业务系统互联互通。</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大数据中心具体负责公共数据的汇聚、清洗、共享、开放、应用和评估，通过集中采购、数据交换、接口调用等方式，推进非公共数据的汇聚，建设维护市级大数据平台、公共数据开放平台以及自然人、法人、信用、空间地理、电子证照、电子印章等基础数据库，提升跨部门、跨区域和跨层级的数据支撑能力。</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区人民政府可以按照全市统一规划，建设本区域大数据中心，将公共数据资源纳入统一管理。</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市经济和信息化部门、区人民政府等有关公共机构应当按照需求导向、分类分级、安全可控、高效便捷的原则，制定并公布年度公共数据开放清单或者计划，采取无条件开放、有条件开放等方式向社会开放公共数据。单位和个人可以通过公共数据开放平台获取公共数据。</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鼓励单位和个人依法开放非公共数据，促进数据融合创新。</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本市设立金融、医疗、交通、空间等领域的公共数据专区，推动公共数据有条件开放和社会化应用。市人民政府可以开展公共数据专区授权运营。</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市人民政府及其有关部门可以探索设立公共数据特定区域，建立适应数字经济特征的新型监管方式。</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市经济和信息化部门推动建设公共数据开放创新基地以及大数据相关的实验室、研究中心、技术中心等，对符合条件的单位和个人提供可信环境和特定数据，促进数据融合创新应用。</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除法律、行政法规另有规定或者当事人另有约定外，单位和个人对其合法正当收集的数据，可以依法存储、持有、使用、加工、传输、提供、公开、删除等，所形成的数据产品和数据服务的相关权益受法律保护。</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法律、行政法规另有规定外，在确保安全的前提下，单位和个人可以对城市基础设施、建筑物、构筑物、物品等进行数字化仿真，并对所形成的数字化产品持有相关权益，但需经相关权利人和有关部门同意的，应当经其同意。</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支持市场主体探索数据资产定价机制，推动形成数据资产目录，激发企业在数字经济领域投资动力；推进建立数据资产登记和评估机制，支持开展数据入股、数据信贷、数据信托和数据资产证券化等数字经济业态创新；培育数据交易撮合、评估评价、托管运营、合规审计、争议仲裁、法律服务等数据服务市场。</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支持在依法设立的数据交易机构开展数据交易活动。数据交易机构应当制定数据交易规则，对数据提供方的数据来源、交易双方的身份进行合规性审查，并留存审查和交易记录，建立交易异常行为风险预警机制，确保数据交易公平有序、安全可控、全程可追溯。</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本市公共机构依托数据交易机构开展数据服务和数据产品交易活动。</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鼓励市场主体通过数据交易机构入场交易。</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数字产业化</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市、区人民政府及其有关部门应当支持数字产业基础研究和关键核心技术攻关，引导企业、高校、科研院所、新型研发机构、开源社区等，围绕前沿领域，提升基础软硬件、核心元器件、关键基础材料和生产装备的供给水平，重点培育高端芯片、新型显示、基础软件、工业软件、人工智能、区块链、大数据、云计算等数字经济核心产业。支持企业发展数字产业，培育多层次的企业梯队。</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支持建设开源社区、开源平台和开源项目等，鼓励软件、硬件的开放创新发展，推动创新资源共建共享。</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支持网络安全、数据安全、算法安全技术和软硬件产品的研发应用，鼓励安全咨询设计、安全评估、数据资产保护、存储加密、隐私计算、检测认证、监测预警、应急处置等数据安全服务业发展；支持相关专业机构依法提供服务；鼓励公共机构等单位提高数据安全投入水平。</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支持平台企业规范健康发展，鼓励利用互联网优势，加大创新研发投入，加强平台企业间、平台企业与中小企业间的合作共享，优化平台发展生态，促进数字技术与实体经济融合发展，赋能经济社会转型升级。</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发展改革、市场监管、网信、经济和信息化等部门应当优化平台经济发展环境，促进平台企业开放生态系统，通过项目合作等方式推动政企数据交互共享。</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鼓励数字经济业态创新，支持远程办公等在线服务和产品的优化升级；有序引导新个体经济，鼓励个人利用电子商务、社交软件、知识分享、音视频网站、创客等新型平台就业创业。</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支持开展自动驾驶全场景运营试验示范，培育推广智能网联汽车、智能公交、无人配送机器人、智能停车、智能车辆维护等新业态。</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支持互联网医院发展，鼓励提供在线问诊、远程会诊、机器人手术、智慧药房等新型医疗服务，规范推广利用智能康养设备的新型健康服务，创新对人工智能新型医疗方式和医疗器械的监管方式。</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支持数据支撑的研发和知识生产产业发展，积极探索基于大数据和人工智能应用的跨学科知识创新和知识生产新模式，以数据驱动产、学、研、用融合。</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支持建设数字经济产业园区和创新基地，推动重点领域数字产业发展，推动数字产业向园区聚集，培育数字产业集群。</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商务部门应当会同有关部门推动数字贸易高质量发展，探索放宽数字经济新业态准入、建设数字口岸、国际信息产业和数字贸易港；支持发展跨境贸易、跨境物流和跨境支付，促进数字证书和电子签名国际互认，构建国际互联网数据专用通道、国际化数据信息专用通道和基于区块链等先进技术的应用支撑平台，推动数字贸易交付、结算便利化。</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产业数字化</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支持农业、制造业、建筑、能源、金融、医疗、教育、流通等产业领域互联网发展，推进产业数字化转型升级，支持产业互联网平台整合产业资源，提供远程协作、在线设计、线上营销、供应链金融等创新服务，建立健全安全保障体系和产业生态。</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经济和信息化部门应当会同国有资产监管机构鼓励国有企业整合内部信息系统，在研发设计、生产加工、经营管理、销售服务等方面形成数据驱动的决策能力，提升企业运行和产业链协同效率，树立全面数字化转型的行业标杆。</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济和信息化部门应当推动中小企业数字化转型，培育发展第三方专业服务机构，鼓励互联网平台、龙头企业开放数据资源、提升平台能力，支持中小微企业和创业者创新创业，推动建立市场化服务与公共服务双轮驱动的数字化转型服务生态。</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经济和信息化部门应当会同通信管理部门健全工业互联网标识解析体系和新型工业网络部署，支持工业企业实施数字化改造，加快建设智能工厂、智能车间，培育推广智能化生产、网络化协同、个性化定制等新模式。</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地方金融监管部门应当推动数字金融体系建设，支持金融机构加快数字化转型，以数据融合应用推动普惠金融发展，促进数字技术在支付清算、登记托管、征信评级、跨境结算等环节的深度应用，丰富数字人民币的应用试点场景和产业生态。鼓励单位和个人使用数字人民币。</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商务部门应当会同有关部门推动超市等传统商业数字化升级，推动传统品牌、老字号数字化推广，促进生活性服务业数字化转型。</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农业农村部门应当会同有关部门推动农业农村基础设施数字化改造和信息网络基础设施建设，推进物联网、遥感监测、区块链、人工智能等技术的深度应用，提升农产品生产、加工、销售、物流，以及乡村公共服务、乡村治理的数字化水平，促进数字乡村和智慧农业创新发展。</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教育、文化和旅游、体育、广播电视等部门应当支持和规范在线教育、在线旅游、网络出版、融媒体、数字动漫等数字消费新模式；发展数字化文化消费新场景；加强未成年人网络保护；鼓励开发智慧博物馆、智慧体育场馆、智慧科技馆，提升数字生活品质。</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智慧城市建设</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市、区人民政府及其有关部门围绕优政、惠民、兴业、安全的智慧城市目标，聚焦交通体系、生态环保、空间治理、执法司法、人文环境、商务服务、终身教育、医疗健康等智慧城市应用领域，推进城市码、空间图、基础工具库、算力设施、感知体系、通信网络、政务云、大数据平台以及智慧终端等智慧城市基础建设。</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人民政府建立健全智慧城市建设统筹调度机制，统筹规划和推进社会治理数字化转型，建立智慧城市规划体系，通过统一的基础设施、智慧终端和共性业务支撑平台，实现城市各系统间信息资源共享和业务协同，提升城市管理和服务的智慧化水平。</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市经济和信息化部门应当会同有关部门编制全市智慧城市发展规划、市级控制性规划，报市人民政府批准后组织实施。区人民政府、市人民政府有关部门应当按照全市智慧城市发展规划、市级控制性规划，编制区域控制性规划、专项规划并组织实施。</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政务服务部门应当会同有关部门全方位、系统性、高标准推进数字政务“一网通办”领域相关工作，加快推进政务服务标准化、规范化、便利化，推进线上服务统一入口和全程数字化，促进电子证照、电子印章、电子档案等广泛应用和互信互认。</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市发展改革部门应当会同有关部门开展营商环境的监测分析、综合管理、“互联网+”评价，建设整体联动的营商环境体系。</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第四十条</w:t>
      </w:r>
      <w:r>
        <w:rPr>
          <w:rFonts w:hint="eastAsia" w:ascii="仿宋_GB2312" w:hAnsi="仿宋_GB2312" w:eastAsia="仿宋_GB2312" w:cs="仿宋_GB2312"/>
          <w:sz w:val="32"/>
          <w:szCs w:val="32"/>
          <w:lang w:val="en-US" w:eastAsia="zh-CN"/>
        </w:rPr>
        <w:t>　城市管理部门应当会同有关部门推进城市运行“一网统管”领域相关工作，建设城市运行管理平台，依托物联网、区块链等技术，开展城市运行生命体征监测，在市政管理、城市交通、生态环境、公共卫生、社会安全、应急管理等领域深化数字技术应用，实现重大突发事件的快速响应和应急联动。</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市场监管部门应当会同有关部门推进一体化综合监管工作，充分利用公共数据和各领域监管系统，推行非现场执法、信用监管、风险预警等新型监管模式，提升监管水平。</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第四十一条</w:t>
      </w:r>
      <w:r>
        <w:rPr>
          <w:rFonts w:hint="eastAsia" w:ascii="仿宋_GB2312" w:hAnsi="仿宋_GB2312" w:eastAsia="仿宋_GB2312" w:cs="仿宋_GB2312"/>
          <w:sz w:val="32"/>
          <w:szCs w:val="32"/>
          <w:lang w:val="en-US" w:eastAsia="zh-CN"/>
        </w:rPr>
        <w:t>　经济和信息化部门应当会同有关部门推进各级决策“一网慧治”相关工作，建设智慧决策应用统一平台，支撑各级智能决策管理信息系统，统筹引导市、区、乡镇、街道和社区、村开展数据智慧化应用。</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区人民政府和有关部门依托智慧决策应用统一平台推进各级决策，深化数据赋能基层治理。</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第四十二条</w:t>
      </w:r>
      <w:r>
        <w:rPr>
          <w:rFonts w:hint="eastAsia" w:ascii="仿宋_GB2312" w:hAnsi="仿宋_GB2312" w:eastAsia="仿宋_GB2312" w:cs="仿宋_GB2312"/>
          <w:sz w:val="32"/>
          <w:szCs w:val="32"/>
          <w:lang w:val="en-US" w:eastAsia="zh-CN"/>
        </w:rPr>
        <w:t>　公共机构应当通过多种形式的场景开放，引导各类市场主体参与智慧城市建设，并为新技术、新产品、新服务提供测试验证、应用试点和产业孵化的条件。市科技部门应当会同有关部门定期发布应用场景开放清单。</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鼓励事业单位、国有企业开放应用场景，采用市场化方式，提升自身数字化治理能力和应用水平。</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第四十三条</w:t>
      </w:r>
      <w:r>
        <w:rPr>
          <w:rFonts w:hint="eastAsia" w:ascii="仿宋_GB2312" w:hAnsi="仿宋_GB2312" w:eastAsia="仿宋_GB2312" w:cs="仿宋_GB2312"/>
          <w:sz w:val="32"/>
          <w:szCs w:val="32"/>
          <w:lang w:val="en-US" w:eastAsia="zh-CN"/>
        </w:rPr>
        <w:t>　政府投资新建、改建、扩建、运行维护的信息化项目，应当符合智慧城市发展规划，通过同级经济和信息化部门的技术评审，并实行项目规划、建设、验收、投入使用、运行维护、升级、绩效评价等流程管理。不符合流程管理要求的，不予立项或者安排资金，具体办法由市经济和信息化部门会同有关部门制定，报市人民政府批准后实施。</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为公共机构提供信息化项目开发建设服务的单位，应当依法依约移交软件源代码、数据和相关控制措施，保证项目质量并履行不少于两年保修期义务，不得擅自留存、使用、泄露或者向他人提供公共数据。</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数字经济安全</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第四十四条</w:t>
      </w:r>
      <w:r>
        <w:rPr>
          <w:rFonts w:hint="eastAsia" w:ascii="仿宋_GB2312" w:hAnsi="仿宋_GB2312" w:eastAsia="仿宋_GB2312" w:cs="仿宋_GB2312"/>
          <w:sz w:val="32"/>
          <w:szCs w:val="32"/>
          <w:lang w:val="en-US" w:eastAsia="zh-CN"/>
        </w:rPr>
        <w:t>　市、区人民政府及其有关部门和有关组织应当强化数字经济安全风险综合研判，推动关键产品多元化供给，提高产业链供应链韧性；引导社会资本投向原创性、引领性创新领域，支持可持续发展的业态和模式创新；规范数字金融有序创新，严防衍生业务风险。</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第四十五条</w:t>
      </w:r>
      <w:r>
        <w:rPr>
          <w:rFonts w:hint="eastAsia" w:ascii="仿宋_GB2312" w:hAnsi="仿宋_GB2312" w:eastAsia="仿宋_GB2312" w:cs="仿宋_GB2312"/>
          <w:sz w:val="32"/>
          <w:szCs w:val="32"/>
          <w:lang w:val="en-US" w:eastAsia="zh-CN"/>
        </w:rPr>
        <w:t>　本市依法保护与数据有关的权益。任何单位和个人从事数据处理活动，应当遵守法律法规、公序良俗和科技伦理，不得危害国家安全、公共利益以及他人的合法权益。</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任何单位和个人不得非法处理他人个人信息。</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第四十六条</w:t>
      </w:r>
      <w:r>
        <w:rPr>
          <w:rFonts w:hint="eastAsia" w:ascii="仿宋_GB2312" w:hAnsi="仿宋_GB2312" w:eastAsia="仿宋_GB2312" w:cs="仿宋_GB2312"/>
          <w:sz w:val="32"/>
          <w:szCs w:val="32"/>
          <w:lang w:val="en-US" w:eastAsia="zh-CN"/>
        </w:rPr>
        <w:t>　市、区人民政府及其有关部门应当建立健全数据安全工作协调机制，采取数据分类分级、安全风险评估和安全保障措施，强化监测预警和应急处置，切实维护国家主权、安全和发展利益，提升本市数据安全保护水平，保护个人信息权益。各行业主管部门、各区人民政府对本行业、本地区数据安全负指导监督责任。单位主要负责人为本单位数据安全第一责任人。</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第四十七条</w:t>
      </w:r>
      <w:r>
        <w:rPr>
          <w:rFonts w:hint="eastAsia" w:ascii="仿宋_GB2312" w:hAnsi="仿宋_GB2312" w:eastAsia="仿宋_GB2312" w:cs="仿宋_GB2312"/>
          <w:sz w:val="32"/>
          <w:szCs w:val="32"/>
          <w:lang w:val="en-US" w:eastAsia="zh-CN"/>
        </w:rPr>
        <w:t>　市网信部门会同公安等部门对关键信息基础设施实行重点保护，建立关键信息基础设施网络安全保障体系，构建跨领域、跨部门、政企合作的安全风险联防联控机制，采取措施监测、防御、处置网络安全风险和威胁，保护关键信息基础设施免受攻击、侵入、干扰和破坏，依法惩治危害关键信息基础设施安全的违法犯罪活动。</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第四十八条</w:t>
      </w:r>
      <w:r>
        <w:rPr>
          <w:rFonts w:hint="eastAsia" w:ascii="仿宋_GB2312" w:hAnsi="仿宋_GB2312" w:eastAsia="仿宋_GB2312" w:cs="仿宋_GB2312"/>
          <w:sz w:val="32"/>
          <w:szCs w:val="32"/>
          <w:lang w:val="en-US" w:eastAsia="zh-CN"/>
        </w:rPr>
        <w:t>　开展数据处理活动，应当建立数据治理和合规运营制度，履行数据安全保护义务，严格落实个人信息合法使用、数据安全使用承诺和重要数据出境安全管理等相关制度，结合应用场景对匿名化、去标识化技术进行安全评估，并采取必要技术措施加强个人信息安全保护，防止非法滥用。鼓励各单位设立首席数据官。</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开展数据处理活动，应当加强风险监测，发现数据安全缺陷、漏洞等风险时，应当立即采取补救措施；发生数据安全事件时，应当立即采取处置措施，按照规定及时告知用户并向有关主管部门报告。</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第四十九条</w:t>
      </w:r>
      <w:r>
        <w:rPr>
          <w:rFonts w:hint="eastAsia" w:ascii="仿宋_GB2312" w:hAnsi="仿宋_GB2312" w:eastAsia="仿宋_GB2312" w:cs="仿宋_GB2312"/>
          <w:sz w:val="32"/>
          <w:szCs w:val="32"/>
          <w:lang w:val="en-US" w:eastAsia="zh-CN"/>
        </w:rPr>
        <w:t>　平台企业应当建立健全平台管理制度规则；不得利用数据、算法、流量、市场、资本优势，排除或者限制其他平台和应用独立运行，不得损害中小企业合法权益，不得对消费者实施不公平的差别待遇和选择限制。</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发展改革、市场监管、网信等部门应当建立健全平台经济治理规则和监管方式，依法查处垄断和不正当竞争行为，保障平台从业人员、中小企业和消费者合法权益。</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保障措施</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第五十条</w:t>
      </w:r>
      <w:r>
        <w:rPr>
          <w:rFonts w:hint="eastAsia" w:ascii="仿宋_GB2312" w:hAnsi="仿宋_GB2312" w:eastAsia="仿宋_GB2312" w:cs="仿宋_GB2312"/>
          <w:sz w:val="32"/>
          <w:szCs w:val="32"/>
          <w:lang w:val="en-US" w:eastAsia="zh-CN"/>
        </w:rPr>
        <w:t>　本市建立完善政府、企业、行业组织和社会公众多方参与、有效协同的数字经济治理新格局，以及协调统一的数字经济治理框架和规则体系，推动健全跨部门、跨地区的协同监管机制。</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数字经济相关协会、商会、联盟等应当加强行业自律，建立健全行业服务标准和便捷、高效、友好的争议解决机制、渠道。</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鼓励平台企业建立争议在线解决机制和渠道，制定并公示争议解决规则。</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第五十一条</w:t>
      </w:r>
      <w:r>
        <w:rPr>
          <w:rFonts w:hint="eastAsia" w:ascii="仿宋_GB2312" w:hAnsi="仿宋_GB2312" w:eastAsia="仿宋_GB2312" w:cs="仿宋_GB2312"/>
          <w:sz w:val="32"/>
          <w:szCs w:val="32"/>
          <w:lang w:val="en-US" w:eastAsia="zh-CN"/>
        </w:rPr>
        <w:t>　网信、教育、人力资源和社会保障、人才工作等部门应当组织实施全民数字素养与技能提升计划。畅通国内外数字经济人才引进绿色通道，并在住房、子女教育、医疗服务、职称评定等方面提供支持。</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鼓励高校、职业院校、中小学校开设多层次、多方向、多形式的数字经济课程教学和培训。</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支持企业与院校通过联合办学，共建产教融合基地、实验室、实训基地等形式，拓展多元化人才培养模式，培养各类专业化和复合型数字技术、技能和管理人才。</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第五十二条</w:t>
      </w:r>
      <w:r>
        <w:rPr>
          <w:rFonts w:hint="eastAsia" w:ascii="仿宋_GB2312" w:hAnsi="仿宋_GB2312" w:eastAsia="仿宋_GB2312" w:cs="仿宋_GB2312"/>
          <w:sz w:val="32"/>
          <w:szCs w:val="32"/>
          <w:lang w:val="en-US" w:eastAsia="zh-CN"/>
        </w:rPr>
        <w:t>　财政、发展改革、科技、经济和信息化等部门应当统筹运用财政资金和各类产业基金，加大对数字经济关键核心技术研发、重大创新载体平台建设、应用示范和产业化发展等方面的资金支持力度，引导和支持天使投资、风险投资等社会力量加大资金投入，鼓励金融机构开展数字经济领域的产品和服务创新。</w:t>
      </w:r>
    </w:p>
    <w:p>
      <w:pPr>
        <w:bidi w:val="0"/>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政府采购的采购人经依法批准，可以通过非公开招标方式，采购达到公开招标限额标准的首台(套)装备、首批次产品、首版次软件，支持数字技术产品和服务的应用推广。</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第五十三条</w:t>
      </w:r>
      <w:r>
        <w:rPr>
          <w:rFonts w:hint="eastAsia" w:ascii="仿宋_GB2312" w:hAnsi="仿宋_GB2312" w:eastAsia="仿宋_GB2312" w:cs="仿宋_GB2312"/>
          <w:sz w:val="32"/>
          <w:szCs w:val="32"/>
          <w:lang w:val="en-US" w:eastAsia="zh-CN"/>
        </w:rPr>
        <w:t>　知识产权等部门应当执行数据知识产权保护规则，开展数据知识产权保护工作，建立知识产权专利导航制度，支持在数字经济行业领域组建产业知识产权联盟；加强企业海外知识产权布局指导，建立健全海外预警和纠纷应对机制，建立快速审查、快速维权体系，依法打击侵权行为。</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第五十四条</w:t>
      </w:r>
      <w:r>
        <w:rPr>
          <w:rFonts w:hint="eastAsia" w:ascii="仿宋_GB2312" w:hAnsi="仿宋_GB2312" w:eastAsia="仿宋_GB2312" w:cs="仿宋_GB2312"/>
          <w:sz w:val="32"/>
          <w:szCs w:val="32"/>
          <w:lang w:val="en-US" w:eastAsia="zh-CN"/>
        </w:rPr>
        <w:t>　政务服务、卫生健康、民政、经济和信息化等部门应当采取措施，鼓励为老年人、残疾人等提供便利适用的智能化产品和服务，推进数字无障碍建设。对使用数字公共服务确有困难的人群，应当提供可替代的服务和产品。</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第五十五条</w:t>
      </w:r>
      <w:r>
        <w:rPr>
          <w:rFonts w:hint="eastAsia" w:ascii="仿宋_GB2312" w:hAnsi="仿宋_GB2312" w:eastAsia="仿宋_GB2312" w:cs="仿宋_GB2312"/>
          <w:sz w:val="32"/>
          <w:szCs w:val="32"/>
          <w:lang w:val="en-US" w:eastAsia="zh-CN"/>
        </w:rPr>
        <w:t>　市、区人民政府及其有关部门应当加强数字经济领域相关法律法规、政策和知识的宣传普及，办好政府网站国内版、国际版，深化数字经济理论和实践研究，营造促进数字经济的良好氛围。</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第五十六条</w:t>
      </w:r>
      <w:r>
        <w:rPr>
          <w:rFonts w:hint="eastAsia" w:ascii="仿宋_GB2312" w:hAnsi="仿宋_GB2312" w:eastAsia="仿宋_GB2312" w:cs="仿宋_GB2312"/>
          <w:sz w:val="32"/>
          <w:szCs w:val="32"/>
          <w:lang w:val="en-US" w:eastAsia="zh-CN"/>
        </w:rPr>
        <w:t>　鼓励拓展数字经济领域国际合作，支持参与制定国际规则、标准和协议，搭建国际会展、论坛、商贸、赛事、培训等合作平台，在数据跨境流动、数字服务市场开放、数字产品安全认证等领域实现互惠互利、合作共赢。</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第五十七条</w:t>
      </w:r>
      <w:r>
        <w:rPr>
          <w:rFonts w:hint="eastAsia" w:ascii="仿宋_GB2312" w:hAnsi="仿宋_GB2312" w:eastAsia="仿宋_GB2312" w:cs="仿宋_GB2312"/>
          <w:sz w:val="32"/>
          <w:szCs w:val="32"/>
          <w:lang w:val="en-US" w:eastAsia="zh-CN"/>
        </w:rPr>
        <w:t>　鼓励政府及其有关部门结合实际情况，在法治框架内积极探索数字经济促进措施；对探索中出现失误或者偏差，符合规定条件的，可以予以免除或者从轻、减轻责任。</w:t>
      </w: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第九章　附　则</w:t>
      </w:r>
    </w:p>
    <w:p>
      <w:pPr>
        <w:bidi w:val="0"/>
        <w:ind w:firstLine="640"/>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第五十八条</w:t>
      </w:r>
      <w:r>
        <w:rPr>
          <w:rFonts w:hint="eastAsia" w:ascii="仿宋_GB2312" w:hAnsi="仿宋_GB2312" w:eastAsia="仿宋_GB2312" w:cs="仿宋_GB2312"/>
          <w:sz w:val="32"/>
          <w:szCs w:val="32"/>
          <w:lang w:val="en-US" w:eastAsia="zh-CN"/>
        </w:rPr>
        <w:t>　本条例自2023年1月1日起施行。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2ZmZjZWJhZGY1NjdmODA1OGVjMzdjOTIwMWM5ZTMifQ=="/>
  </w:docVars>
  <w:rsids>
    <w:rsidRoot w:val="014F7632"/>
    <w:rsid w:val="014F7632"/>
    <w:rsid w:val="15554E3D"/>
    <w:rsid w:val="201C7BDE"/>
    <w:rsid w:val="2836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outlineLvl w:val="0"/>
    </w:pPr>
    <w:rPr>
      <w:rFonts w:eastAsia="黑体" w:asciiTheme="minorAscii" w:hAnsiTheme="minorAscii"/>
      <w:color w:val="C00000"/>
      <w:kern w:val="44"/>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Words>
  <Characters>11</Characters>
  <Lines>0</Lines>
  <Paragraphs>0</Paragraphs>
  <TotalTime>8</TotalTime>
  <ScaleCrop>false</ScaleCrop>
  <LinksUpToDate>false</LinksUpToDate>
  <CharactersWithSpaces>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2023-08-31T02:21:00Z</dcterms:created>
  <dc:creator>邢焱</dc:creator>
  <cp:lastModifiedBy>邢焱</cp:lastModifiedBy>
  <dcterms:modified xsi:type="dcterms:W3CDTF">2023-08-31T02:53:50Z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D912FCC3ACFA4D2E8BB3D486ED4FC196_11</vt:lpwstr>
  </property>
</Properties>
</file>