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15" w:rightChars="-7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</w:rPr>
        <w:t>BF-20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                合同编号：</w:t>
      </w:r>
    </w:p>
    <w:p>
      <w:pPr>
        <w:spacing w:line="340" w:lineRule="exact"/>
        <w:ind w:right="-15" w:rightChars="-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美发美容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行业预付费服务合同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（征求意见稿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wordWrap/>
        <w:adjustRightInd/>
        <w:snapToGrid/>
        <w:spacing w:beforeLines="0" w:afterLines="0" w:line="240" w:lineRule="exact"/>
        <w:ind w:left="0" w:leftChars="0" w:right="0" w:firstLine="411" w:firstLineChars="196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》《中华人民共和国消费者权益保护法》《单用途商业预付卡管理办法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试行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》及其他相关法律、法规的规定，甲乙双方在平等、自愿、公平、诚实信用的基础上，就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美容美发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预付费服务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事宜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经协商一致订立合同如下：</w:t>
      </w:r>
    </w:p>
    <w:p>
      <w:pPr>
        <w:wordWrap/>
        <w:adjustRightInd/>
        <w:snapToGrid/>
        <w:spacing w:beforeLines="0" w:afterLines="0" w:line="24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>第一条  办卡事宜</w:t>
      </w:r>
    </w:p>
    <w:p>
      <w:pPr>
        <w:widowControl/>
        <w:wordWrap/>
        <w:adjustRightInd/>
        <w:snapToGrid/>
        <w:spacing w:beforeLines="0" w:afterLines="0" w:line="240" w:lineRule="exact"/>
        <w:ind w:left="0" w:leftChars="0" w:right="0" w:firstLine="413" w:firstLineChars="196"/>
        <w:jc w:val="left"/>
        <w:textAlignment w:val="auto"/>
        <w:outlineLvl w:val="9"/>
        <w:rPr>
          <w:rFonts w:hint="eastAsia" w:ascii="仿宋_GB2312" w:hAnsi="宋体" w:eastAsia="仿宋_GB2312"/>
          <w:b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color w:val="000000"/>
          <w:sz w:val="21"/>
          <w:szCs w:val="21"/>
        </w:rPr>
        <w:t>1.</w:t>
      </w: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>费用及支付方式</w:t>
      </w:r>
    </w:p>
    <w:tbl>
      <w:tblPr>
        <w:tblStyle w:val="6"/>
        <w:tblpPr w:leftFromText="180" w:rightFromText="180" w:vertAnchor="text" w:horzAnchor="page" w:tblpX="1656" w:tblpY="66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643"/>
        <w:gridCol w:w="1384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</w:rPr>
              <w:t>办卡种类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计次卡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使用次数为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储值卡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19" w:type="dxa"/>
            <w:vAlign w:val="center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收款账户信息</w:t>
            </w:r>
          </w:p>
        </w:tc>
        <w:tc>
          <w:tcPr>
            <w:tcW w:w="7542" w:type="dxa"/>
            <w:gridSpan w:val="3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开户银行：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银行账号：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支付宝账号：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微信账号：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其他账号：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2643" w:type="dxa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384" w:type="dxa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支付日期</w:t>
            </w:r>
          </w:p>
        </w:tc>
        <w:tc>
          <w:tcPr>
            <w:tcW w:w="3515" w:type="dxa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</w:rPr>
              <w:t>支付方式</w:t>
            </w:r>
          </w:p>
        </w:tc>
        <w:tc>
          <w:tcPr>
            <w:tcW w:w="7542" w:type="dxa"/>
            <w:gridSpan w:val="3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 xml:space="preserve">现金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□银行卡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支付宝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履约保障措施</w:t>
            </w:r>
          </w:p>
        </w:tc>
        <w:tc>
          <w:tcPr>
            <w:tcW w:w="7542" w:type="dxa"/>
            <w:gridSpan w:val="3"/>
          </w:tcPr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经营者承诺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购买合同履约保证保险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银行保函  </w:t>
            </w:r>
          </w:p>
          <w:p>
            <w:pPr>
              <w:wordWrap/>
              <w:adjustRightInd/>
              <w:snapToGrid/>
              <w:spacing w:beforeLines="0" w:afterLines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设立资金监管专用账户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tabs>
          <w:tab w:val="left" w:pos="1980"/>
        </w:tabs>
        <w:wordWrap/>
        <w:adjustRightInd/>
        <w:snapToGrid/>
        <w:spacing w:beforeLines="0" w:afterLines="0" w:line="240" w:lineRule="exact"/>
        <w:ind w:left="0" w:leftChars="0" w:right="0" w:firstLine="421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1"/>
          <w:szCs w:val="21"/>
          <w:lang w:eastAsia="zh-CN"/>
        </w:rPr>
        <w:t>重要提示：大额度预付式消费存在风险，需谨慎选择。</w:t>
      </w:r>
    </w:p>
    <w:p>
      <w:pPr>
        <w:tabs>
          <w:tab w:val="left" w:pos="1980"/>
        </w:tabs>
        <w:wordWrap/>
        <w:adjustRightInd/>
        <w:snapToGrid/>
        <w:spacing w:beforeLines="0" w:afterLines="0" w:line="230" w:lineRule="exact"/>
        <w:ind w:left="0" w:leftChars="0" w:right="0" w:firstLine="421" w:firstLineChars="200"/>
        <w:textAlignment w:val="auto"/>
        <w:outlineLvl w:val="9"/>
        <w:rPr>
          <w:rFonts w:hint="eastAsia" w:ascii="仿宋_GB2312" w:hAnsi="宋体" w:eastAsia="仿宋_GB2312" w:cs="Arial"/>
          <w:b/>
          <w:bCs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21"/>
          <w:szCs w:val="21"/>
        </w:rPr>
        <w:t>2.使用权限</w:t>
      </w:r>
    </w:p>
    <w:p>
      <w:pPr>
        <w:widowControl/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sym w:font="Wingdings 2" w:char="00A3"/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该卡记名，仅限甲方本人使用；甲方将卡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>转让他人时，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□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 xml:space="preserve">不需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□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>需 支付转让手续费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>元。</w:t>
      </w:r>
    </w:p>
    <w:p>
      <w:pPr>
        <w:widowControl/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□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 xml:space="preserve">该卡不记名，可由任何符合条件的持卡人使用。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□其他：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</w:rPr>
        <w:t xml:space="preserve">                       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该卡□能  □不能 与乙方其他优惠促销活动同时使用。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卡遗失、损坏需要补卡的，甲方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□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 xml:space="preserve">不需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□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>需 支付手续费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1"/>
          <w:szCs w:val="21"/>
        </w:rPr>
        <w:t>元。</w:t>
      </w:r>
    </w:p>
    <w:p>
      <w:pPr>
        <w:tabs>
          <w:tab w:val="left" w:pos="1980"/>
        </w:tabs>
        <w:wordWrap/>
        <w:adjustRightInd/>
        <w:snapToGrid/>
        <w:spacing w:beforeLines="0" w:afterLines="0" w:line="230" w:lineRule="exact"/>
        <w:ind w:left="0" w:leftChars="0" w:right="0" w:firstLine="413" w:firstLineChars="196"/>
        <w:jc w:val="left"/>
        <w:textAlignment w:val="auto"/>
        <w:outlineLvl w:val="9"/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</w:pP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.使用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lang w:val="en-US" w:eastAsia="zh-CN"/>
        </w:rPr>
        <w:t>期限</w:t>
      </w:r>
    </w:p>
    <w:p>
      <w:pPr>
        <w:tabs>
          <w:tab w:val="left" w:pos="1980"/>
        </w:tabs>
        <w:wordWrap/>
        <w:adjustRightInd/>
        <w:snapToGrid/>
        <w:spacing w:beforeLines="0" w:afterLines="0" w:line="230" w:lineRule="exact"/>
        <w:ind w:left="0" w:leftChars="0" w:right="0" w:firstLine="395" w:firstLineChars="196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 w:cs="Arial"/>
          <w:bCs/>
          <w:color w:val="000000"/>
          <w:spacing w:val="-4"/>
          <w:kern w:val="0"/>
          <w:sz w:val="21"/>
          <w:szCs w:val="21"/>
        </w:rPr>
        <w:t>记名卡不设有效期限；不记名卡有效期限为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（不少于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年），自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  <w:u w:val="single"/>
        </w:rPr>
        <w:t xml:space="preserve">       年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日至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年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日；有效期限届满后卡内仍有剩余的金额、次数的，乙方应当提供激活、换卡等配套服务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。</w:t>
      </w:r>
    </w:p>
    <w:p>
      <w:pPr>
        <w:tabs>
          <w:tab w:val="left" w:pos="1980"/>
        </w:tabs>
        <w:wordWrap/>
        <w:adjustRightInd/>
        <w:snapToGrid/>
        <w:spacing w:beforeLines="0" w:afterLines="0" w:line="230" w:lineRule="exact"/>
        <w:ind w:left="0" w:leftChars="0" w:right="0" w:firstLine="411" w:firstLineChars="196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21"/>
          <w:szCs w:val="21"/>
        </w:rPr>
        <w:t>乙方在非法定节假日暂停营业超过24小时或甲方按照约定办理暂停服务手续的，有效期限相应顺延。</w:t>
      </w:r>
    </w:p>
    <w:p>
      <w:pPr>
        <w:tabs>
          <w:tab w:val="left" w:pos="1980"/>
        </w:tabs>
        <w:wordWrap/>
        <w:adjustRightInd/>
        <w:snapToGrid/>
        <w:spacing w:beforeLines="0" w:afterLines="0" w:line="230" w:lineRule="exact"/>
        <w:ind w:left="0" w:leftChars="0" w:right="0" w:firstLine="413" w:firstLineChars="196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t>使用范围</w:t>
      </w:r>
    </w:p>
    <w:p>
      <w:pPr>
        <w:tabs>
          <w:tab w:val="left" w:pos="1980"/>
        </w:tabs>
        <w:wordWrap/>
        <w:adjustRightInd/>
        <w:snapToGrid/>
        <w:spacing w:beforeLines="0" w:afterLines="0" w:line="230" w:lineRule="exact"/>
        <w:ind w:left="0" w:leftChars="0" w:right="0" w:firstLine="411" w:firstLineChars="196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□仅限单店使用，名称、地址：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left"/>
        <w:textAlignment w:val="auto"/>
        <w:outlineLvl w:val="9"/>
        <w:rPr>
          <w:rFonts w:hint="default" w:ascii="仿宋_GB2312" w:hAnsi="宋体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□连锁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、加盟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门店通用，通用门店名称、地址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见附件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11" w:firstLineChars="19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t>第二条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乙方承诺提供的服务内容</w:t>
      </w:r>
    </w:p>
    <w:p>
      <w:pPr>
        <w:tabs>
          <w:tab w:val="left" w:pos="540"/>
        </w:tabs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1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本合同可消费项目及其品牌包括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：□</w:t>
      </w:r>
      <w:r>
        <w:rPr>
          <w:rFonts w:hint="eastAsia" w:ascii="仿宋_GB2312" w:hAnsi="宋体" w:eastAsia="仿宋_GB2312"/>
          <w:color w:val="auto"/>
          <w:sz w:val="21"/>
          <w:szCs w:val="21"/>
          <w:u w:val="none"/>
          <w:lang w:eastAsia="zh-CN"/>
        </w:rPr>
        <w:t>美发</w:t>
      </w:r>
      <w:r>
        <w:rPr>
          <w:rFonts w:hint="eastAsia" w:ascii="仿宋_GB2312" w:hAnsi="宋体" w:eastAsia="仿宋_GB2312"/>
          <w:color w:val="auto"/>
          <w:sz w:val="21"/>
          <w:szCs w:val="21"/>
          <w:u w:val="none"/>
          <w:lang w:val="en-US" w:eastAsia="zh-CN"/>
        </w:rPr>
        <w:t xml:space="preserve">  □美容  □美甲    </w:t>
      </w:r>
    </w:p>
    <w:p>
      <w:pPr>
        <w:tabs>
          <w:tab w:val="left" w:pos="540"/>
        </w:tabs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本合同可消费项目优惠幅度为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                             </w:t>
      </w:r>
    </w:p>
    <w:p>
      <w:pPr>
        <w:tabs>
          <w:tab w:val="left" w:pos="540"/>
        </w:tabs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21"/>
          <w:szCs w:val="21"/>
          <w:u w:val="single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.另收费</w:t>
      </w:r>
      <w:r>
        <w:rPr>
          <w:rFonts w:hint="eastAsia" w:ascii="仿宋_GB2312" w:hAnsi="宋体" w:eastAsia="仿宋_GB2312"/>
          <w:bCs/>
          <w:color w:val="auto"/>
          <w:sz w:val="21"/>
          <w:szCs w:val="21"/>
        </w:rPr>
        <w:t>项目：</w:t>
      </w:r>
      <w:r>
        <w:rPr>
          <w:rFonts w:hint="eastAsia" w:ascii="仿宋_GB2312" w:hAnsi="宋体" w:eastAsia="仿宋_GB2312"/>
          <w:bCs/>
          <w:color w:val="auto"/>
          <w:sz w:val="21"/>
          <w:szCs w:val="21"/>
          <w:u w:val="single"/>
        </w:rPr>
        <w:t xml:space="preserve">                                       </w:t>
      </w:r>
      <w:r>
        <w:rPr>
          <w:rFonts w:hint="eastAsia" w:ascii="仿宋_GB2312" w:hAnsi="宋体" w:eastAsia="仿宋_GB2312"/>
          <w:bCs/>
          <w:color w:val="auto"/>
          <w:sz w:val="21"/>
          <w:szCs w:val="21"/>
        </w:rPr>
        <w:t>（以店内公示项目和价格为准）。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条  重要事项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告知方式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宋体" w:eastAsia="仿宋_GB2312" w:cs="Arial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乙方应明确告知甲方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val="en-US" w:eastAsia="zh-CN"/>
        </w:rPr>
        <w:t>其经营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场所的租赁期限信息，租赁时限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自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年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月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日至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年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月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</w:rPr>
        <w:t>日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1"/>
          <w:szCs w:val="21"/>
          <w:lang w:eastAsia="zh-CN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乙方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应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向甲方告知调整营业时间、暂停营业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歇业、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转让</w:t>
      </w:r>
      <w:r>
        <w:rPr>
          <w:rFonts w:hint="eastAsia" w:ascii="仿宋_GB2312" w:hAnsi="宋体" w:eastAsia="仿宋_GB2312"/>
          <w:color w:val="000000"/>
          <w:szCs w:val="21"/>
        </w:rPr>
        <w:t>或注销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等重要事项，应当采用</w:t>
      </w:r>
      <w:r>
        <w:rPr>
          <w:rFonts w:hint="eastAsia" w:ascii="仿宋_GB2312" w:hAnsi="宋体" w:eastAsia="仿宋_GB2312"/>
          <w:b/>
          <w:color w:val="auto"/>
          <w:sz w:val="21"/>
          <w:szCs w:val="21"/>
        </w:rPr>
        <w:t xml:space="preserve">店堂告示及□书式  □电子邮件  □传真  □短信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微信</w:t>
      </w:r>
      <w:r>
        <w:rPr>
          <w:rFonts w:hint="eastAsia" w:ascii="仿宋_GB2312" w:hAnsi="宋体" w:eastAsia="仿宋_GB2312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微信公众号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企业网站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方式。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 xml:space="preserve">  7天冷静期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eastAsia="zh-CN"/>
        </w:rPr>
        <w:t>自签署本合同的次日起，有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7天冷静期，冷静期期间，在未开卡使用消费的情况下，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</w:rPr>
        <w:t>有权无条件解除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eastAsia="zh-CN"/>
        </w:rPr>
        <w:t>本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</w:rPr>
        <w:t>合同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eastAsia="zh-CN"/>
        </w:rPr>
        <w:t>经与甲方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以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书面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电子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val="en-US" w:eastAsia="zh-CN"/>
        </w:rPr>
        <w:t xml:space="preserve">邮件  </w:t>
      </w:r>
      <w:r>
        <w:rPr>
          <w:rFonts w:hint="eastAsia" w:ascii="仿宋_GB2312" w:hAnsi="宋体" w:eastAsia="仿宋_GB2312"/>
          <w:b/>
          <w:color w:val="auto"/>
          <w:sz w:val="21"/>
          <w:szCs w:val="21"/>
        </w:rPr>
        <w:t xml:space="preserve">□短信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微信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1"/>
          <w:szCs w:val="21"/>
          <w:lang w:eastAsia="zh-CN"/>
        </w:rPr>
        <w:t>其他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方式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eastAsia="zh-CN"/>
        </w:rPr>
        <w:t>确认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退费申请后，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eastAsia="zh-CN"/>
        </w:rPr>
        <w:t>于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15个工作日内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</w:rPr>
        <w:t>一次性返还全部预付费用。</w:t>
      </w:r>
    </w:p>
    <w:p>
      <w:pPr>
        <w:numPr>
          <w:ilvl w:val="0"/>
          <w:numId w:val="0"/>
        </w:numPr>
        <w:wordWrap/>
        <w:adjustRightInd/>
        <w:snapToGrid/>
        <w:spacing w:beforeLines="0" w:afterLines="0" w:line="230" w:lineRule="exact"/>
        <w:ind w:leftChars="196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第五条  退费方式</w:t>
      </w:r>
    </w:p>
    <w:p>
      <w:pPr>
        <w:numPr>
          <w:ilvl w:val="0"/>
          <w:numId w:val="0"/>
        </w:num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default" w:ascii="黑体" w:hAnsi="黑体" w:eastAsia="仿宋_GB2312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按甲方缴费原路径退回，对于已向银行（第三方）等支付的合理手续费用等，由乙方出示相关证明材料后，由</w:t>
      </w:r>
      <w:r>
        <w:rPr>
          <w:rFonts w:hint="eastAsia" w:ascii="仿宋_GB2312" w:eastAsia="仿宋_GB2312"/>
          <w:b/>
          <w:bCs/>
          <w:color w:val="auto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color w:val="auto"/>
          <w:sz w:val="21"/>
          <w:szCs w:val="21"/>
          <w:u w:val="none"/>
          <w:lang w:val="en-US" w:eastAsia="zh-CN"/>
        </w:rPr>
        <w:t xml:space="preserve">甲方  </w:t>
      </w:r>
      <w:r>
        <w:rPr>
          <w:rFonts w:hint="eastAsia" w:ascii="仿宋_GB2312" w:eastAsia="仿宋_GB2312"/>
          <w:b/>
          <w:bCs/>
          <w:color w:val="auto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color w:val="auto"/>
          <w:sz w:val="21"/>
          <w:szCs w:val="21"/>
          <w:u w:val="none"/>
          <w:lang w:val="en-US" w:eastAsia="zh-CN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承担。</w:t>
      </w:r>
    </w:p>
    <w:p>
      <w:pPr>
        <w:numPr>
          <w:ilvl w:val="0"/>
          <w:numId w:val="1"/>
        </w:numPr>
        <w:wordWrap/>
        <w:adjustRightInd/>
        <w:snapToGrid/>
        <w:spacing w:beforeLines="0" w:afterLines="0" w:line="23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违约责任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lang w:val="en-US" w:eastAsia="zh-CN"/>
        </w:rPr>
        <w:t>因一方违反本合同约定致本合同无法继续履行的，违约方应承担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lang w:val="en-US" w:eastAsia="zh-CN"/>
        </w:rPr>
        <w:t>的违约金，但违约金数额不得超过给对方造成损失的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1"/>
          <w:szCs w:val="21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1"/>
          <w:szCs w:val="21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lang w:val="en-US" w:eastAsia="zh-CN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第七条  争议解决方式</w:t>
      </w:r>
    </w:p>
    <w:p>
      <w:pPr>
        <w:numPr>
          <w:ilvl w:val="0"/>
          <w:numId w:val="0"/>
        </w:num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双方发生争议时，可以协商解决，协商不成的，可请求消费者协会调解，向有关行政部门申诉，或者双方一致同意选择以下方式（单选）解决：</w:t>
      </w:r>
    </w:p>
    <w:p>
      <w:pPr>
        <w:numPr>
          <w:ilvl w:val="0"/>
          <w:numId w:val="0"/>
        </w:num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1"/>
          <w:szCs w:val="21"/>
          <w:u w:val="none"/>
          <w:lang w:val="en-US" w:eastAsia="zh-CN"/>
        </w:rPr>
        <w:t>仲裁委员会申请仲裁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1"/>
          <w:szCs w:val="21"/>
          <w:u w:val="none"/>
          <w:lang w:val="en-US" w:eastAsia="zh-CN"/>
        </w:rPr>
        <w:t>人民法院提起诉讼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11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 xml:space="preserve">第八条  其他约定 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1"/>
          <w:szCs w:val="21"/>
        </w:rPr>
        <w:t>1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.转卡、换卡、补卡的约定：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</w:rPr>
        <w:t xml:space="preserve">                                                  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.</w:t>
      </w:r>
      <w:r>
        <w:rPr>
          <w:rFonts w:hint="eastAsia" w:ascii="仿宋_GB2312" w:eastAsia="仿宋_GB2312"/>
          <w:color w:val="000000"/>
          <w:sz w:val="21"/>
          <w:szCs w:val="21"/>
        </w:rPr>
        <w:t>本合同一式</w:t>
      </w:r>
      <w:r>
        <w:rPr>
          <w:rFonts w:hint="eastAsia" w:ascii="仿宋_GB2312" w:eastAsia="仿宋_GB2312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1"/>
          <w:szCs w:val="21"/>
        </w:rPr>
        <w:t>份，甲方</w:t>
      </w:r>
      <w:r>
        <w:rPr>
          <w:rFonts w:hint="eastAsia" w:ascii="仿宋_GB2312" w:eastAsia="仿宋_GB2312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1"/>
          <w:szCs w:val="21"/>
        </w:rPr>
        <w:t>份，乙方</w:t>
      </w:r>
      <w:r>
        <w:rPr>
          <w:rFonts w:hint="eastAsia" w:ascii="仿宋_GB2312" w:eastAsia="仿宋_GB2312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1"/>
          <w:szCs w:val="21"/>
        </w:rPr>
        <w:t>份。</w:t>
      </w:r>
    </w:p>
    <w:p>
      <w:pPr>
        <w:wordWrap/>
        <w:adjustRightInd/>
        <w:snapToGrid/>
        <w:spacing w:beforeLines="0" w:afterLines="0" w:line="23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21"/>
          <w:szCs w:val="21"/>
          <w:u w:val="wave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.</w:t>
      </w:r>
      <w:r>
        <w:rPr>
          <w:rFonts w:hint="eastAsia" w:ascii="仿宋_GB2312" w:hAnsi="宋体" w:eastAsia="仿宋_GB2312"/>
          <w:color w:val="000000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请消费者仔细阅读背书条款及经营者提供的其他书面材料，经确认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  <w:lang w:eastAsia="zh-CN"/>
        </w:rPr>
        <w:t>了解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无误后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  <w:lang w:eastAsia="zh-CN"/>
        </w:rPr>
        <w:t>，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签署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  <w:lang w:eastAsia="zh-CN"/>
        </w:rPr>
        <w:t>并交易</w:t>
      </w:r>
      <w:r>
        <w:rPr>
          <w:rFonts w:hint="eastAsia" w:ascii="黑体" w:hAnsi="黑体" w:eastAsia="黑体" w:cs="黑体"/>
          <w:b/>
          <w:color w:val="000000"/>
          <w:sz w:val="21"/>
          <w:szCs w:val="21"/>
          <w:u w:val="wave"/>
        </w:rPr>
        <w:t>。</w:t>
      </w:r>
    </w:p>
    <w:p>
      <w:pPr>
        <w:wordWrap/>
        <w:adjustRightInd/>
        <w:snapToGrid/>
        <w:spacing w:beforeLines="0" w:afterLines="0" w:line="23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b/>
          <w:color w:val="000000"/>
          <w:sz w:val="21"/>
          <w:szCs w:val="21"/>
          <w:u w:val="wave"/>
        </w:rPr>
      </w:pPr>
    </w:p>
    <w:p>
      <w:pPr>
        <w:wordWrap/>
        <w:adjustRightInd/>
        <w:snapToGrid/>
        <w:spacing w:beforeLines="0" w:afterLines="0" w:line="230" w:lineRule="exact"/>
        <w:ind w:left="0" w:leftChars="0" w:right="0"/>
        <w:textAlignment w:val="auto"/>
        <w:outlineLvl w:val="9"/>
        <w:rPr>
          <w:rFonts w:hint="eastAsia" w:ascii="仿宋_GB2312" w:eastAsia="仿宋_GB2312"/>
          <w:color w:val="000000"/>
          <w:sz w:val="21"/>
          <w:szCs w:val="21"/>
          <w:u w:val="single"/>
        </w:rPr>
      </w:pPr>
      <w:r>
        <w:rPr>
          <w:rFonts w:hint="eastAsia" w:ascii="仿宋_GB2312" w:eastAsia="仿宋_GB2312"/>
          <w:b/>
          <w:color w:val="000000"/>
          <w:sz w:val="21"/>
          <w:szCs w:val="21"/>
        </w:rPr>
        <w:t>消费者（甲方）：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                             </w:t>
      </w:r>
      <w:r>
        <w:rPr>
          <w:rFonts w:hint="eastAsia" w:ascii="仿宋_GB2312" w:eastAsia="仿宋_GB2312"/>
          <w:b/>
          <w:color w:val="000000"/>
          <w:sz w:val="21"/>
          <w:szCs w:val="21"/>
        </w:rPr>
        <w:t>经营者（乙方）：</w:t>
      </w:r>
    </w:p>
    <w:p>
      <w:pPr>
        <w:tabs>
          <w:tab w:val="left" w:pos="4900"/>
        </w:tabs>
        <w:wordWrap/>
        <w:adjustRightInd/>
        <w:snapToGrid/>
        <w:spacing w:beforeLines="0" w:afterLines="0" w:line="230" w:lineRule="exact"/>
        <w:ind w:left="0" w:leftChars="0" w:right="0"/>
        <w:jc w:val="left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1"/>
          <w:szCs w:val="21"/>
          <w:lang w:eastAsia="zh-CN"/>
        </w:rPr>
        <w:t>姓名：</w:t>
      </w:r>
      <w:r>
        <w:rPr>
          <w:rFonts w:hint="eastAsia" w:ascii="仿宋_GB2312" w:hAnsi="宋体" w:eastAsia="仿宋_GB2312"/>
          <w:bCs/>
          <w:color w:val="000000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经办人：</w:t>
      </w:r>
      <w:r>
        <w:rPr>
          <w:rFonts w:hint="eastAsia" w:ascii="仿宋_GB2312" w:hAnsi="宋体" w:eastAsia="仿宋_GB2312"/>
          <w:bCs/>
          <w:color w:val="000000"/>
          <w:sz w:val="21"/>
          <w:szCs w:val="21"/>
          <w:lang w:val="en-US" w:eastAsia="zh-CN"/>
        </w:rPr>
        <w:t xml:space="preserve">         联系电话： </w:t>
      </w:r>
    </w:p>
    <w:p>
      <w:pPr>
        <w:widowControl/>
        <w:wordWrap/>
        <w:adjustRightInd/>
        <w:snapToGrid/>
        <w:spacing w:beforeLines="0" w:afterLines="0" w:line="230" w:lineRule="exact"/>
        <w:ind w:left="0" w:leftChars="0" w:right="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eastAsia="zh-CN"/>
        </w:rPr>
        <w:t>联系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bCs/>
          <w:color w:val="000000"/>
          <w:sz w:val="21"/>
          <w:szCs w:val="21"/>
          <w:lang w:val="en-US" w:eastAsia="zh-CN"/>
        </w:rPr>
        <w:t xml:space="preserve"> 公章/合同专用章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：</w:t>
      </w:r>
    </w:p>
    <w:p>
      <w:pPr>
        <w:widowControl/>
        <w:wordWrap/>
        <w:adjustRightInd/>
        <w:snapToGrid/>
        <w:spacing w:beforeLines="0" w:afterLines="0" w:line="230" w:lineRule="exact"/>
        <w:ind w:left="0" w:leftChars="0" w:right="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0"/>
          <w:szCs w:val="20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21"/>
          <w:szCs w:val="21"/>
        </w:rPr>
        <w:t>签订时间</w:t>
      </w: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 xml:space="preserve">： 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年   月   日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color w:val="000000"/>
          <w:sz w:val="21"/>
          <w:szCs w:val="21"/>
        </w:rPr>
        <w:t>签订时间</w:t>
      </w: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 xml:space="preserve">： 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年   月   日  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 xml:space="preserve">            </w:t>
      </w:r>
    </w:p>
    <w:p>
      <w:pPr>
        <w:tabs>
          <w:tab w:val="left" w:pos="4900"/>
        </w:tabs>
        <w:wordWrap/>
        <w:adjustRightInd/>
        <w:snapToGrid/>
        <w:spacing w:line="240" w:lineRule="exact"/>
        <w:ind w:firstLine="600" w:firstLineChars="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0"/>
          <w:szCs w:val="20"/>
          <w:u w:val="single"/>
        </w:rPr>
      </w:pPr>
    </w:p>
    <w:p>
      <w:pPr>
        <w:widowControl w:val="0"/>
        <w:wordWrap/>
        <w:adjustRightInd/>
        <w:snapToGrid/>
        <w:spacing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通用条款</w:t>
      </w:r>
    </w:p>
    <w:p>
      <w:pPr>
        <w:wordWrap/>
        <w:snapToGrid/>
        <w:spacing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</w:rPr>
      </w:pPr>
    </w:p>
    <w:p>
      <w:pPr>
        <w:numPr>
          <w:ilvl w:val="0"/>
          <w:numId w:val="2"/>
        </w:numPr>
        <w:wordWrap/>
        <w:snapToGrid/>
        <w:spacing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适用范围</w:t>
      </w:r>
    </w:p>
    <w:p>
      <w:pPr>
        <w:wordWrap/>
        <w:snapToGrid/>
        <w:spacing w:line="260" w:lineRule="exact"/>
        <w:ind w:firstLine="420" w:firstLineChars="200"/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本合同主要适用于向消费者提供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美发美容美甲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各类项目服务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经营单位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与消费者之间发生的美发美容美甲预付费服务交易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。</w:t>
      </w:r>
    </w:p>
    <w:p>
      <w:pPr>
        <w:wordWrap/>
        <w:snapToGrid/>
        <w:spacing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双方主要权利和义务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1.甲方预付余额不足支付当次消费，甲方可以现金补足，并一次性享受原优惠幅度。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b/>
          <w:bCs w:val="0"/>
          <w:color w:val="auto"/>
          <w:szCs w:val="21"/>
          <w:lang w:val="en-US" w:eastAsia="zh-CN"/>
        </w:rPr>
        <w:t>甲方在有效期内未使用完本合同内金额的，可向乙方要求延期，双方可协商重新约定使用期限、优惠幅度等内容。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3.甲方应当按时、足额交纳本合同金额。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4.甲方应当在接受服务前告知乙方健康状况及以往病史。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5.乙方在介绍服务项目时应向甲方说明该项目的商品与服务标准、合法经营证明文件、公示价格和有效期、卡的类别和功能以及使用方式等内容。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6.乙方所提供的客用洗发水（液）等发用类、护肤类、美容修饰类、香水类化妆品及仪器设备应当符合国家相关标准。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合同变更与转让</w:t>
      </w:r>
    </w:p>
    <w:p>
      <w:pPr>
        <w:wordWrap/>
        <w:adjustRightInd w:val="0"/>
        <w:snapToGrid/>
        <w:spacing w:line="260" w:lineRule="exact"/>
        <w:ind w:right="50" w:rightChars="24" w:firstLine="420" w:firstLineChars="200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1.在合同期限内，乙方不得擅自提高承诺的商品、服务价格或增加服务限制条件。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2.在合同期限内，乙方不得仅因其名称的变更或者法定代表人、负责人、承办人的变动而不履行约定义务。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60" w:lineRule="exact"/>
        <w:ind w:firstLine="411" w:firstLineChars="196"/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Cs w:val="21"/>
          <w:lang w:val="en-US" w:eastAsia="zh-CN"/>
        </w:rPr>
        <w:t>3.在合同期限内，乙方将合同约定的服务项目和内容转让给第三人时，应经甲方同意。甲方在合理期限内未作表示的，视为不同意。</w:t>
      </w:r>
    </w:p>
    <w:p>
      <w:pPr>
        <w:wordWrap/>
        <w:snapToGrid/>
        <w:spacing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合同解除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1.甲方未按约定支付余款的，只可享受首次实际付款数额相应的优惠幅度。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.乙方变更服务地点、调整主要经营项目、擅自提高价格或增加服务限制条件严重影响甲方利益的，双方应当协商解决；协商不成的，甲方可以解除合同，并要求乙方按照以下标准在扣除已消费金额后，一次性返还预付合同余额：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（1）双方约定甲方享受单次服务价格优惠的，已消费金额应当按照约定的优惠价格计算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。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（2）双方约定甲方享受明确的赠送金额或服务项目的，单次服务价格的优惠折扣率为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Cs w:val="21"/>
        </w:rPr>
        <w:t>预付费用总额÷（赠送金额或赠送服务的折算金额＋预付费用总额）×100%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。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（3）双方约定甲方在有效期限内不限次享受服务的，已消费金额计算方式为：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Cs w:val="21"/>
        </w:rPr>
        <w:t>合同生效之日起至合同解除之日止的天数÷有效期限内天数×100%×预付费用总额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。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3.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因</w:t>
      </w:r>
      <w:r>
        <w:rPr>
          <w:rFonts w:hint="eastAsia" w:ascii="仿宋_GB2312" w:hAnsi="宋体" w:eastAsia="仿宋_GB2312"/>
          <w:color w:val="000000"/>
          <w:szCs w:val="21"/>
        </w:rPr>
        <w:t>乙方暂停营业超过30天和歇业，甲方要求解除合同的，乙方应当按照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前述</w:t>
      </w:r>
      <w:r>
        <w:rPr>
          <w:rFonts w:hint="eastAsia" w:ascii="仿宋_GB2312" w:hAnsi="宋体" w:eastAsia="仿宋_GB2312"/>
          <w:color w:val="000000"/>
          <w:szCs w:val="21"/>
        </w:rPr>
        <w:t>标准扣除已消费金额后，一次性返还预付费用余额；甲方不要求解除合同的，有效期限相应顺延或由双方另行协商解决办法。</w:t>
      </w:r>
    </w:p>
    <w:p>
      <w:pPr>
        <w:widowControl/>
        <w:wordWrap/>
        <w:autoSpaceDE w:val="0"/>
        <w:autoSpaceDN w:val="0"/>
        <w:adjustRightInd w:val="0"/>
        <w:snapToGrid/>
        <w:spacing w:beforeLines="0" w:afterLines="0" w:line="260" w:lineRule="exact"/>
        <w:ind w:firstLine="420" w:firstLineChars="200"/>
        <w:jc w:val="both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4.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因</w:t>
      </w:r>
      <w:r>
        <w:rPr>
          <w:rFonts w:hint="eastAsia" w:ascii="仿宋_GB2312" w:hAnsi="宋体" w:eastAsia="仿宋_GB2312"/>
          <w:color w:val="000000"/>
          <w:szCs w:val="21"/>
        </w:rPr>
        <w:t>乙方</w:t>
      </w:r>
      <w:r>
        <w:rPr>
          <w:rFonts w:hint="eastAsia" w:ascii="仿宋_GB2312" w:hAnsi="宋体" w:eastAsia="仿宋_GB2312"/>
          <w:color w:val="000000"/>
          <w:szCs w:val="21"/>
          <w:lang w:eastAsia="zh-CN"/>
        </w:rPr>
        <w:t>转让</w:t>
      </w:r>
      <w:r>
        <w:rPr>
          <w:rFonts w:hint="eastAsia" w:ascii="仿宋_GB2312" w:hAnsi="宋体" w:eastAsia="仿宋_GB2312"/>
          <w:color w:val="000000"/>
          <w:szCs w:val="21"/>
        </w:rPr>
        <w:t>或注销需解除合同的，按照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>前述</w:t>
      </w:r>
      <w:r>
        <w:rPr>
          <w:rFonts w:hint="eastAsia" w:ascii="仿宋_GB2312" w:hAnsi="宋体" w:eastAsia="仿宋_GB2312"/>
          <w:color w:val="000000"/>
          <w:szCs w:val="21"/>
        </w:rPr>
        <w:t>标准扣除已消费金额后，一次性返还预付费用余额。</w:t>
      </w:r>
    </w:p>
    <w:p>
      <w:pPr>
        <w:wordWrap/>
        <w:snapToGrid/>
        <w:spacing w:line="260" w:lineRule="exact"/>
        <w:ind w:firstLine="411" w:firstLineChars="196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、合同效力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及</w:t>
      </w: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组成</w:t>
      </w:r>
    </w:p>
    <w:p>
      <w:pPr>
        <w:wordWrap/>
        <w:snapToGrid/>
        <w:spacing w:line="260" w:lineRule="exact"/>
        <w:ind w:firstLine="420" w:firstLineChars="200"/>
        <w:textAlignment w:val="baseline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1.</w:t>
      </w:r>
      <w:r>
        <w:rPr>
          <w:rFonts w:hint="eastAsia" w:ascii="仿宋_GB2312" w:eastAsia="仿宋_GB2312"/>
          <w:color w:val="000000"/>
          <w:szCs w:val="21"/>
        </w:rPr>
        <w:t>本合同自双方签字盖章之日起生效。</w:t>
      </w:r>
    </w:p>
    <w:p>
      <w:pPr>
        <w:wordWrap/>
        <w:snapToGrid/>
        <w:spacing w:line="260" w:lineRule="exact"/>
        <w:ind w:firstLine="420" w:firstLineChars="200"/>
        <w:textAlignment w:val="baseline"/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</w:rPr>
        <w:t>2.未尽事宜，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双方按照有关法律法规和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>《北京市预付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式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>消费服务合同行为指引》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执行。</w:t>
      </w:r>
    </w:p>
    <w:p>
      <w:pPr>
        <w:wordWrap/>
        <w:snapToGrid/>
        <w:spacing w:line="260" w:lineRule="exact"/>
        <w:ind w:firstLine="420" w:firstLineChars="200"/>
        <w:textAlignment w:val="baseline"/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 w:val="0"/>
          <w:color w:val="000000"/>
          <w:szCs w:val="21"/>
          <w:lang w:eastAsia="zh-CN"/>
        </w:rPr>
        <w:t>执行本合同文本的规定，不影响双方依据有关法律提出保障其他权益的请求。</w:t>
      </w:r>
    </w:p>
    <w:sectPr>
      <w:footerReference r:id="rId3" w:type="default"/>
      <w:footerReference r:id="rId4" w:type="even"/>
      <w:pgSz w:w="11906" w:h="16838"/>
      <w:pgMar w:top="1077" w:right="1079" w:bottom="1077" w:left="11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firstLine="3960" w:firstLineChars="22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62EAA"/>
    <w:rsid w:val="23272261"/>
    <w:rsid w:val="444D24C8"/>
    <w:rsid w:val="4AFE57F7"/>
    <w:rsid w:val="7C204DDF"/>
    <w:rsid w:val="F9BE8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  <w:rPr>
      <w:rFonts w:ascii="Tahoma" w:hAnsi="Tahoma"/>
      <w:sz w:val="24"/>
      <w:szCs w:val="20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link w:val="7"/>
    <w:qFormat/>
    <w:uiPriority w:val="0"/>
    <w:pPr>
      <w:spacing w:line="360" w:lineRule="auto"/>
      <w:jc w:val="left"/>
    </w:pPr>
    <w:rPr>
      <w:rFonts w:ascii="Tahoma" w:hAnsi="Tahoma"/>
      <w:sz w:val="24"/>
      <w:szCs w:val="20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2506</Words>
  <Characters>2545</Characters>
  <Paragraphs>104</Paragraphs>
  <TotalTime>1</TotalTime>
  <ScaleCrop>false</ScaleCrop>
  <LinksUpToDate>false</LinksUpToDate>
  <CharactersWithSpaces>3430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2021-04-29T17:18:00Z</dcterms:created>
  <dc:creator>雾转多云/ty</dc:creator>
  <cp:lastModifiedBy>uos</cp:lastModifiedBy>
  <cp:lastPrinted>2021-05-12T14:19:25Z</cp:lastPrinted>
  <dcterms:modified xsi:type="dcterms:W3CDTF">2021-05-12T15:27:30Z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62e9f5065c4f4e23b00ebe22b50cc9df</vt:lpwstr>
  </property>
</Properties>
</file>