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B81F9">
      <w:pPr>
        <w:spacing w:before="0" w:after="0" w:line="600" w:lineRule="exact"/>
        <w:jc w:val="center"/>
      </w:pPr>
      <w:r>
        <w:rPr>
          <w:rFonts w:ascii="方正小标宋简体" w:hAnsi="方正小标宋简体" w:eastAsia="方正小标宋简体"/>
          <w:sz w:val="44"/>
        </w:rPr>
        <w:t>北京市文化市场综合执法总队关于</w:t>
      </w:r>
    </w:p>
    <w:p w14:paraId="043944B9">
      <w:pPr>
        <w:spacing w:before="0" w:after="0" w:line="600" w:lineRule="exact"/>
        <w:jc w:val="center"/>
      </w:pPr>
      <w:r>
        <w:rPr>
          <w:rFonts w:ascii="方正小标宋简体" w:hAnsi="方正小标宋简体" w:eastAsia="方正小标宋简体"/>
          <w:sz w:val="44"/>
        </w:rPr>
        <w:t>《未成年人网络保护条例》</w:t>
      </w:r>
    </w:p>
    <w:p w14:paraId="0414A189">
      <w:pPr>
        <w:spacing w:before="0" w:after="0" w:line="600" w:lineRule="exact"/>
        <w:jc w:val="center"/>
      </w:pPr>
      <w:r>
        <w:rPr>
          <w:rFonts w:ascii="方正小标宋简体" w:hAnsi="方正小标宋简体" w:eastAsia="方正小标宋简体"/>
          <w:sz w:val="44"/>
        </w:rPr>
        <w:t>职权清单及裁量基准的起草说明</w:t>
      </w:r>
    </w:p>
    <w:p w14:paraId="182518FB">
      <w:pPr>
        <w:spacing w:before="0" w:after="0" w:line="560" w:lineRule="exact"/>
        <w:ind w:firstLine="640" w:firstLineChars="200"/>
        <w:jc w:val="left"/>
        <w:rPr>
          <w:rFonts w:ascii="黑体" w:hAnsi="黑体" w:eastAsia="黑体"/>
          <w:sz w:val="32"/>
        </w:rPr>
      </w:pPr>
    </w:p>
    <w:p w14:paraId="18355E3C">
      <w:pPr>
        <w:spacing w:before="0" w:after="0" w:line="560" w:lineRule="exact"/>
        <w:ind w:firstLine="640" w:firstLineChars="200"/>
        <w:jc w:val="left"/>
      </w:pPr>
      <w:r>
        <w:rPr>
          <w:rFonts w:ascii="黑体" w:hAnsi="黑体" w:eastAsia="黑体"/>
          <w:sz w:val="32"/>
        </w:rPr>
        <w:t>一、背景情况</w:t>
      </w:r>
    </w:p>
    <w:p w14:paraId="49F5A3FA">
      <w:pPr>
        <w:spacing w:before="0" w:after="0" w:line="560" w:lineRule="exact"/>
        <w:ind w:firstLine="640" w:firstLineChars="200"/>
        <w:jc w:val="left"/>
      </w:pPr>
      <w:r>
        <w:rPr>
          <w:rFonts w:ascii="仿宋_GB2312" w:hAnsi="仿宋_GB2312" w:eastAsia="仿宋_GB2312"/>
          <w:sz w:val="32"/>
        </w:rPr>
        <w:t>为落实国务院办公厅《关于进一步规范行政裁量权基准制定和管理工作的意见》（国办发〔2022〕27号）有关要求，进一步提升首都文化执法质效，全面营造更好的文化市场法治化营商环境，我单位对《未成年人网络保护条例》中涉及市区两级文化执法队伍的行政处罚职权及裁量基准进行梳理汇总，形成了《北京市文化市场综合执法〈未成年人网络保护条例〉行政处罚职权表》《北京市文化市场综合执法〈未成年人网络保护条例〉行政处罚裁量基准表》（征求意见稿）。</w:t>
      </w:r>
    </w:p>
    <w:p w14:paraId="459269C6">
      <w:pPr>
        <w:spacing w:before="0" w:after="0" w:line="560" w:lineRule="exact"/>
        <w:ind w:firstLine="640" w:firstLineChars="200"/>
        <w:jc w:val="left"/>
      </w:pPr>
      <w:r>
        <w:rPr>
          <w:rFonts w:ascii="黑体" w:hAnsi="黑体" w:eastAsia="黑体"/>
          <w:sz w:val="32"/>
        </w:rPr>
        <w:t>二、主要依据</w:t>
      </w:r>
    </w:p>
    <w:p w14:paraId="414FF630">
      <w:pPr>
        <w:spacing w:before="0" w:after="0" w:line="560" w:lineRule="exact"/>
        <w:ind w:firstLine="640" w:firstLineChars="200"/>
        <w:jc w:val="left"/>
      </w:pPr>
      <w:r>
        <w:rPr>
          <w:rFonts w:ascii="仿宋_GB2312" w:hAnsi="仿宋_GB2312" w:eastAsia="仿宋_GB2312"/>
          <w:sz w:val="32"/>
        </w:rPr>
        <w:t>1.《中华人民共和国行政处罚法》；</w:t>
      </w:r>
    </w:p>
    <w:p w14:paraId="68C8460B">
      <w:pPr>
        <w:spacing w:before="0" w:after="0" w:line="560" w:lineRule="exact"/>
        <w:ind w:firstLine="640" w:firstLineChars="200"/>
        <w:jc w:val="left"/>
      </w:pPr>
      <w:r>
        <w:rPr>
          <w:rFonts w:ascii="仿宋_GB2312" w:hAnsi="仿宋_GB2312" w:eastAsia="仿宋_GB2312"/>
          <w:sz w:val="32"/>
        </w:rPr>
        <w:t>2.《中华人民共和国未成年人保护法》；</w:t>
      </w:r>
    </w:p>
    <w:p w14:paraId="0CC08188">
      <w:pPr>
        <w:spacing w:before="0" w:after="0" w:line="560" w:lineRule="exact"/>
        <w:ind w:firstLine="640" w:firstLineChars="200"/>
        <w:jc w:val="left"/>
      </w:pPr>
      <w:r>
        <w:rPr>
          <w:rFonts w:ascii="仿宋_GB2312" w:hAnsi="仿宋_GB2312" w:eastAsia="仿宋_GB2312"/>
          <w:sz w:val="32"/>
        </w:rPr>
        <w:t>3.《未成年人网络保护条例》；</w:t>
      </w:r>
    </w:p>
    <w:p w14:paraId="4C75C5E2">
      <w:pPr>
        <w:spacing w:before="0" w:after="0" w:line="560" w:lineRule="exact"/>
        <w:ind w:firstLine="640" w:firstLineChars="200"/>
        <w:jc w:val="left"/>
      </w:pPr>
      <w:r>
        <w:rPr>
          <w:rFonts w:ascii="仿宋_GB2312" w:hAnsi="仿宋_GB2312" w:eastAsia="仿宋_GB2312"/>
          <w:sz w:val="32"/>
        </w:rPr>
        <w:t>4.《国务院办公厅关于进一步规范行政裁量权基准制定和管理工作的意见》（国办发〔2022〕27号）；</w:t>
      </w:r>
    </w:p>
    <w:p w14:paraId="0AA6322F">
      <w:pPr>
        <w:spacing w:before="0" w:after="0" w:line="560" w:lineRule="exact"/>
        <w:ind w:firstLine="640" w:firstLineChars="200"/>
        <w:jc w:val="left"/>
      </w:pPr>
      <w:r>
        <w:rPr>
          <w:rFonts w:ascii="仿宋_GB2312" w:hAnsi="仿宋_GB2312" w:eastAsia="仿宋_GB2312"/>
          <w:sz w:val="32"/>
        </w:rPr>
        <w:t>5.《关于规范实施行政处罚裁量基准制度的若干指导意见》。</w:t>
      </w:r>
    </w:p>
    <w:p w14:paraId="501BB2F9">
      <w:pPr>
        <w:spacing w:before="0" w:after="0" w:line="560" w:lineRule="exact"/>
        <w:ind w:firstLine="640" w:firstLineChars="200"/>
        <w:jc w:val="left"/>
      </w:pPr>
      <w:r>
        <w:rPr>
          <w:rFonts w:ascii="黑体" w:hAnsi="黑体" w:eastAsia="黑体"/>
          <w:sz w:val="32"/>
        </w:rPr>
        <w:t>三、制定过程</w:t>
      </w:r>
    </w:p>
    <w:p w14:paraId="32EBEBD2">
      <w:pPr>
        <w:spacing w:before="0" w:after="0" w:line="560" w:lineRule="exact"/>
        <w:ind w:firstLine="640" w:firstLineChars="200"/>
        <w:jc w:val="left"/>
      </w:pPr>
      <w:r>
        <w:rPr>
          <w:rFonts w:ascii="仿宋_GB2312" w:hAnsi="仿宋_GB2312" w:eastAsia="仿宋_GB2312"/>
          <w:sz w:val="32"/>
        </w:rPr>
        <w:t>总队法制监督处</w:t>
      </w:r>
      <w:r>
        <w:rPr>
          <w:rFonts w:hint="eastAsia" w:ascii="仿宋_GB2312" w:hAnsi="仿宋_GB2312"/>
          <w:sz w:val="32"/>
          <w:lang w:eastAsia="zh-CN"/>
        </w:rPr>
        <w:t>（研究室）</w:t>
      </w:r>
      <w:r>
        <w:rPr>
          <w:rFonts w:ascii="仿宋_GB2312" w:hAnsi="仿宋_GB2312" w:eastAsia="仿宋_GB2312"/>
          <w:sz w:val="32"/>
        </w:rPr>
        <w:t>牵头，对《未成年人网络保护条例》涉及市区两级文化执法队伍的处罚条</w:t>
      </w:r>
      <w:bookmarkStart w:id="0" w:name="_GoBack"/>
      <w:bookmarkEnd w:id="0"/>
      <w:r>
        <w:rPr>
          <w:rFonts w:ascii="仿宋_GB2312" w:hAnsi="仿宋_GB2312" w:eastAsia="仿宋_GB2312"/>
          <w:sz w:val="32"/>
        </w:rPr>
        <w:t>款进行全面梳理，重点针对罚款幅度较大的处罚事项进行分析讨论，与总队各支队、总队法律顾问</w:t>
      </w:r>
      <w:r>
        <w:rPr>
          <w:rFonts w:hint="eastAsia" w:ascii="仿宋_GB2312" w:hAnsi="仿宋_GB2312"/>
          <w:sz w:val="32"/>
          <w:lang w:eastAsia="zh-CN"/>
        </w:rPr>
        <w:t>共同</w:t>
      </w:r>
      <w:r>
        <w:rPr>
          <w:rFonts w:ascii="仿宋_GB2312" w:hAnsi="仿宋_GB2312" w:eastAsia="仿宋_GB2312"/>
          <w:sz w:val="32"/>
        </w:rPr>
        <w:t>研究，形成上述两个征求意见稿。</w:t>
      </w:r>
    </w:p>
    <w:p w14:paraId="73F1579F">
      <w:pPr>
        <w:spacing w:before="0" w:after="0" w:line="560" w:lineRule="exact"/>
        <w:ind w:firstLine="640" w:firstLineChars="200"/>
        <w:jc w:val="left"/>
      </w:pPr>
      <w:r>
        <w:rPr>
          <w:rFonts w:ascii="黑体" w:hAnsi="黑体" w:eastAsia="黑体"/>
          <w:sz w:val="32"/>
        </w:rPr>
        <w:t>四、主要内容</w:t>
      </w:r>
    </w:p>
    <w:p w14:paraId="22D14FD3">
      <w:pPr>
        <w:spacing w:before="0" w:after="0" w:line="560" w:lineRule="exact"/>
        <w:ind w:firstLine="640" w:firstLineChars="200"/>
        <w:jc w:val="left"/>
      </w:pPr>
      <w:r>
        <w:rPr>
          <w:rFonts w:ascii="仿宋_GB2312" w:hAnsi="仿宋_GB2312" w:eastAsia="仿宋_GB2312"/>
          <w:sz w:val="32"/>
        </w:rPr>
        <w:t>坚持法制统一、程序公正、公平合理、高效便民、过罚相当、宽严相济的原则，结合执法实际，对《未成年人网络保护条例》涉及文化市场领域的行政处罚职权进行梳理汇总，明确执法主体和适用情形，编制行政处罚职权表；综合考虑法定依据、违法情形、性质情节、危害程度、处罚种类、处罚幅度等因素，细化具体情节、量化罚款幅度，对行政处罚裁量进行定档分阶，形成行政处罚裁量基准表。</w:t>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auto"/>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ＭＳ 明朝">
    <w:altName w:val="仿宋_GB2312"/>
    <w:panose1 w:val="00000000000000000000"/>
    <w:charset w:val="80"/>
    <w:family w:val="roman"/>
    <w:pitch w:val="default"/>
    <w:sig w:usb0="00000000" w:usb1="00000000" w:usb2="00000010" w:usb3="00000000" w:csb0="00020000" w:csb1="00000000"/>
  </w:font>
  <w:font w:name="ＭＳ 明朝">
    <w:altName w:val="仿宋_GB2312"/>
    <w:panose1 w:val="00000000000000000000"/>
    <w:charset w:val="86"/>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ＭＳ ゴシック">
    <w:altName w:val="仿宋_GB2312"/>
    <w:panose1 w:val="00000000000000000000"/>
    <w:charset w:val="80"/>
    <w:family w:val="modern"/>
    <w:pitch w:val="default"/>
    <w:sig w:usb0="00000000" w:usb1="00000000" w:usb2="00000010" w:usb3="00000000" w:csb0="00020000" w:csb1="00000000"/>
  </w:font>
  <w:font w:name="ＭＳ 明朝">
    <w:altName w:val="仿宋_GB2312"/>
    <w:panose1 w:val="00000000000000000000"/>
    <w:charset w:val="00"/>
    <w:family w:val="auto"/>
    <w:pitch w:val="default"/>
    <w:sig w:usb0="00000000" w:usb1="00000000" w:usb2="00000000" w:usb3="00000000" w:csb0="00000000" w:csb1="00000000"/>
  </w:font>
  <w:font w:name="Courier">
    <w:altName w:val="DejaVu Math TeX Gyre"/>
    <w:panose1 w:val="020005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ＭＳ ゴシック">
    <w:altName w:val="仿宋_GB2312"/>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EEF1C2D"/>
    <w:rsid w:val="6DDB5D92"/>
    <w:rsid w:val="FFBD0B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仿宋_GB2312"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Liam</cp:lastModifiedBy>
  <dcterms:modified xsi:type="dcterms:W3CDTF">2026-08-28T17:00:12Z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5ED78C9ACFB032CC1C4E916A3981DF7B_43</vt:lpwstr>
  </property>
</Properties>
</file>