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B284E">
      <w:pPr>
        <w:widowControl w:val="0"/>
        <w:spacing w:line="560" w:lineRule="exact"/>
        <w:ind w:firstLine="0" w:firstLineChars="0"/>
        <w:jc w:val="center"/>
        <w:rPr>
          <w:rFonts w:hint="default" w:ascii="Times New Roman" w:hAnsi="Times New Roman" w:eastAsia="方正小标宋简体"/>
          <w:bCs/>
          <w:kern w:val="2"/>
          <w:sz w:val="44"/>
          <w:szCs w:val="44"/>
        </w:rPr>
      </w:pPr>
      <w:r>
        <w:rPr>
          <w:rFonts w:hint="default" w:ascii="Times New Roman" w:hAnsi="Times New Roman" w:eastAsia="方正小标宋简体"/>
          <w:bCs/>
          <w:kern w:val="2"/>
          <w:sz w:val="44"/>
          <w:szCs w:val="44"/>
        </w:rPr>
        <w:t>《北京市碳普惠一级方法学 电动网约车</w:t>
      </w:r>
    </w:p>
    <w:p w14:paraId="316A89E1">
      <w:pPr>
        <w:widowControl w:val="0"/>
        <w:spacing w:line="560" w:lineRule="exact"/>
        <w:ind w:firstLine="0" w:firstLineChars="0"/>
        <w:jc w:val="center"/>
        <w:rPr>
          <w:rFonts w:hint="default" w:ascii="Times New Roman" w:hAnsi="Times New Roman" w:eastAsia="方正小标宋简体"/>
          <w:bCs/>
          <w:kern w:val="2"/>
          <w:sz w:val="44"/>
          <w:szCs w:val="44"/>
        </w:rPr>
      </w:pPr>
      <w:r>
        <w:rPr>
          <w:rFonts w:hint="default" w:ascii="Times New Roman" w:hAnsi="Times New Roman" w:eastAsia="方正小标宋简体"/>
          <w:bCs/>
          <w:kern w:val="2"/>
          <w:sz w:val="44"/>
          <w:szCs w:val="44"/>
        </w:rPr>
        <w:t>出行</w:t>
      </w:r>
      <w:r>
        <w:rPr>
          <w:rFonts w:ascii="Times New Roman" w:hAnsi="Times New Roman" w:eastAsia="方正小标宋简体"/>
          <w:bCs/>
          <w:kern w:val="2"/>
          <w:sz w:val="44"/>
          <w:szCs w:val="44"/>
        </w:rPr>
        <w:t>（征求意见稿）</w:t>
      </w:r>
      <w:r>
        <w:rPr>
          <w:rFonts w:hint="default" w:ascii="Times New Roman" w:hAnsi="Times New Roman" w:eastAsia="方正小标宋简体"/>
          <w:bCs/>
          <w:kern w:val="2"/>
          <w:sz w:val="44"/>
          <w:szCs w:val="44"/>
        </w:rPr>
        <w:t>》编制说明</w:t>
      </w:r>
    </w:p>
    <w:p w14:paraId="41507F91">
      <w:pPr>
        <w:widowControl w:val="0"/>
        <w:spacing w:line="560" w:lineRule="exact"/>
        <w:ind w:firstLine="640"/>
        <w:jc w:val="both"/>
        <w:rPr>
          <w:rFonts w:ascii="Times New Roman" w:eastAsia="仿宋_GB2312"/>
          <w:kern w:val="2"/>
          <w:sz w:val="32"/>
          <w:szCs w:val="32"/>
        </w:rPr>
      </w:pPr>
    </w:p>
    <w:p w14:paraId="30142F72">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为健全北京市碳普惠方法学体系，拓展低碳交通</w:t>
      </w:r>
      <w:r>
        <w:rPr>
          <w:rFonts w:hint="default" w:ascii="Times New Roman" w:eastAsia="仿宋_GB2312"/>
          <w:kern w:val="2"/>
          <w:sz w:val="32"/>
          <w:szCs w:val="32"/>
        </w:rPr>
        <w:t>领域</w:t>
      </w:r>
      <w:r>
        <w:rPr>
          <w:rFonts w:ascii="Times New Roman" w:eastAsia="仿宋_GB2312"/>
          <w:kern w:val="2"/>
          <w:sz w:val="32"/>
          <w:szCs w:val="32"/>
        </w:rPr>
        <w:t>碳普惠应用场景，引导公众主动选择电动网约车出行、降低城市客运交通温室气体排放，</w:t>
      </w:r>
      <w:r>
        <w:rPr>
          <w:rFonts w:hint="default" w:ascii="Times New Roman" w:eastAsia="仿宋_GB2312"/>
          <w:kern w:val="2"/>
          <w:sz w:val="32"/>
          <w:szCs w:val="32"/>
        </w:rPr>
        <w:t>北京市生态环境局</w:t>
      </w:r>
      <w:r>
        <w:rPr>
          <w:rFonts w:ascii="Times New Roman" w:eastAsia="仿宋_GB2312"/>
          <w:kern w:val="2"/>
          <w:sz w:val="32"/>
          <w:szCs w:val="32"/>
        </w:rPr>
        <w:t>在前期向全社会公开征集方法学建议并开展遴选评估的基础上，组织编制了《北京市碳普惠</w:t>
      </w:r>
      <w:r>
        <w:rPr>
          <w:rFonts w:hint="default" w:ascii="Times New Roman" w:eastAsia="仿宋_GB2312"/>
          <w:kern w:val="2"/>
          <w:sz w:val="32"/>
          <w:szCs w:val="32"/>
          <w:lang w:eastAsia="zh-CN"/>
        </w:rPr>
        <w:t>一级</w:t>
      </w:r>
      <w:r>
        <w:rPr>
          <w:rFonts w:ascii="Times New Roman" w:eastAsia="仿宋_GB2312"/>
          <w:kern w:val="2"/>
          <w:sz w:val="32"/>
          <w:szCs w:val="32"/>
        </w:rPr>
        <w:t>方法学 电动网约车出行</w:t>
      </w:r>
      <w:bookmarkStart w:id="0" w:name="OLE_LINK12"/>
      <w:r>
        <w:rPr>
          <w:rFonts w:ascii="Times New Roman" w:eastAsia="仿宋_GB2312"/>
          <w:kern w:val="2"/>
          <w:sz w:val="32"/>
          <w:szCs w:val="32"/>
        </w:rPr>
        <w:t>（征求意见稿）</w:t>
      </w:r>
      <w:bookmarkEnd w:id="0"/>
      <w:r>
        <w:rPr>
          <w:rFonts w:ascii="Times New Roman" w:eastAsia="仿宋_GB2312"/>
          <w:kern w:val="2"/>
          <w:sz w:val="32"/>
          <w:szCs w:val="32"/>
        </w:rPr>
        <w:t>》，有关情况说明如下。</w:t>
      </w:r>
    </w:p>
    <w:p w14:paraId="39FC5A93">
      <w:pPr>
        <w:keepNext/>
        <w:keepLines/>
        <w:widowControl w:val="0"/>
        <w:spacing w:line="560" w:lineRule="exact"/>
        <w:ind w:firstLine="640"/>
        <w:jc w:val="both"/>
        <w:outlineLvl w:val="0"/>
        <w:rPr>
          <w:rFonts w:hint="default" w:ascii="Times New Roman" w:hAnsi="Times New Roman" w:eastAsia="黑体"/>
          <w:bCs/>
          <w:kern w:val="44"/>
          <w:sz w:val="32"/>
          <w:szCs w:val="32"/>
        </w:rPr>
      </w:pPr>
      <w:r>
        <w:rPr>
          <w:rFonts w:ascii="Times New Roman" w:hAnsi="Times New Roman" w:eastAsia="黑体"/>
          <w:bCs/>
          <w:kern w:val="44"/>
          <w:sz w:val="32"/>
          <w:szCs w:val="32"/>
        </w:rPr>
        <w:t>一、编制背景与意义</w:t>
      </w:r>
    </w:p>
    <w:p w14:paraId="307FC32B">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二氧化碳</w:t>
      </w:r>
      <w:r>
        <w:rPr>
          <w:rFonts w:hint="eastAsia" w:eastAsia="仿宋_GB2312"/>
          <w:kern w:val="2"/>
          <w:sz w:val="32"/>
          <w:szCs w:val="32"/>
          <w:lang w:eastAsia="zh-CN"/>
        </w:rPr>
        <w:t>（</w:t>
      </w:r>
      <w:r>
        <w:rPr>
          <w:rFonts w:hint="eastAsia" w:eastAsia="仿宋_GB2312"/>
          <w:kern w:val="2"/>
          <w:sz w:val="32"/>
          <w:szCs w:val="32"/>
          <w:lang w:val="en-US" w:eastAsia="zh-CN"/>
        </w:rPr>
        <w:t>CO</w:t>
      </w:r>
      <w:r>
        <w:rPr>
          <w:rFonts w:hint="eastAsia" w:eastAsia="仿宋_GB2312"/>
          <w:kern w:val="2"/>
          <w:sz w:val="32"/>
          <w:szCs w:val="32"/>
          <w:vertAlign w:val="subscript"/>
          <w:lang w:val="en-US" w:eastAsia="zh-CN"/>
        </w:rPr>
        <w:t>2</w:t>
      </w:r>
      <w:r>
        <w:rPr>
          <w:rFonts w:hint="eastAsia" w:eastAsia="仿宋_GB2312"/>
          <w:kern w:val="2"/>
          <w:sz w:val="32"/>
          <w:szCs w:val="32"/>
          <w:lang w:eastAsia="zh-CN"/>
        </w:rPr>
        <w:t>）</w:t>
      </w:r>
      <w:r>
        <w:rPr>
          <w:rFonts w:ascii="Times New Roman" w:eastAsia="仿宋_GB2312"/>
          <w:kern w:val="2"/>
          <w:sz w:val="32"/>
          <w:szCs w:val="32"/>
        </w:rPr>
        <w:t>是最主要</w:t>
      </w:r>
      <w:r>
        <w:rPr>
          <w:rFonts w:hint="default" w:ascii="Times New Roman" w:eastAsia="仿宋_GB2312"/>
          <w:kern w:val="2"/>
          <w:sz w:val="32"/>
          <w:szCs w:val="32"/>
        </w:rPr>
        <w:t>的</w:t>
      </w:r>
      <w:r>
        <w:rPr>
          <w:rFonts w:ascii="Times New Roman" w:eastAsia="仿宋_GB2312"/>
          <w:kern w:val="2"/>
          <w:sz w:val="32"/>
          <w:szCs w:val="32"/>
        </w:rPr>
        <w:t>温室气体，交通领域化石燃料燃烧是城市人为碳排放</w:t>
      </w:r>
      <w:r>
        <w:rPr>
          <w:rFonts w:hint="default" w:ascii="Times New Roman" w:eastAsia="仿宋_GB2312"/>
          <w:kern w:val="2"/>
          <w:sz w:val="32"/>
          <w:szCs w:val="32"/>
        </w:rPr>
        <w:t>重要来源之一</w:t>
      </w:r>
      <w:r>
        <w:rPr>
          <w:rFonts w:ascii="Times New Roman" w:eastAsia="仿宋_GB2312"/>
          <w:kern w:val="2"/>
          <w:sz w:val="32"/>
          <w:szCs w:val="32"/>
        </w:rPr>
        <w:t>。网约车</w:t>
      </w:r>
      <w:r>
        <w:rPr>
          <w:rFonts w:hint="default" w:ascii="Times New Roman" w:eastAsia="仿宋_GB2312"/>
          <w:kern w:val="2"/>
          <w:sz w:val="32"/>
          <w:szCs w:val="32"/>
        </w:rPr>
        <w:t>是</w:t>
      </w:r>
      <w:r>
        <w:rPr>
          <w:rFonts w:ascii="Times New Roman" w:eastAsia="仿宋_GB2312"/>
          <w:kern w:val="2"/>
          <w:sz w:val="32"/>
          <w:szCs w:val="32"/>
        </w:rPr>
        <w:t>城市居民</w:t>
      </w:r>
      <w:r>
        <w:rPr>
          <w:rFonts w:hint="default" w:ascii="Times New Roman" w:eastAsia="仿宋_GB2312"/>
          <w:kern w:val="2"/>
          <w:sz w:val="32"/>
          <w:szCs w:val="32"/>
        </w:rPr>
        <w:t>常用</w:t>
      </w:r>
      <w:r>
        <w:rPr>
          <w:rFonts w:ascii="Times New Roman" w:eastAsia="仿宋_GB2312"/>
          <w:kern w:val="2"/>
          <w:sz w:val="32"/>
          <w:szCs w:val="32"/>
        </w:rPr>
        <w:t>出行方式，</w:t>
      </w:r>
      <w:r>
        <w:rPr>
          <w:rFonts w:hint="default" w:ascii="Times New Roman" w:eastAsia="仿宋_GB2312"/>
          <w:kern w:val="2"/>
          <w:sz w:val="32"/>
          <w:szCs w:val="32"/>
        </w:rPr>
        <w:t>而现有</w:t>
      </w:r>
      <w:r>
        <w:rPr>
          <w:rFonts w:ascii="Times New Roman" w:eastAsia="仿宋_GB2312"/>
          <w:kern w:val="2"/>
          <w:sz w:val="32"/>
          <w:szCs w:val="32"/>
        </w:rPr>
        <w:t>燃油</w:t>
      </w:r>
      <w:r>
        <w:rPr>
          <w:rFonts w:hint="default" w:ascii="Times New Roman" w:eastAsia="仿宋_GB2312"/>
          <w:kern w:val="2"/>
          <w:sz w:val="32"/>
          <w:szCs w:val="32"/>
        </w:rPr>
        <w:t>与</w:t>
      </w:r>
      <w:r>
        <w:rPr>
          <w:rFonts w:ascii="Times New Roman" w:eastAsia="仿宋_GB2312"/>
          <w:kern w:val="2"/>
          <w:sz w:val="32"/>
          <w:szCs w:val="32"/>
        </w:rPr>
        <w:t>混动</w:t>
      </w:r>
      <w:r>
        <w:rPr>
          <w:rFonts w:hint="default" w:ascii="Times New Roman" w:eastAsia="仿宋_GB2312"/>
          <w:kern w:val="2"/>
          <w:sz w:val="32"/>
          <w:szCs w:val="32"/>
        </w:rPr>
        <w:t>网约</w:t>
      </w:r>
      <w:r>
        <w:rPr>
          <w:rFonts w:ascii="Times New Roman" w:eastAsia="仿宋_GB2312"/>
          <w:kern w:val="2"/>
          <w:sz w:val="32"/>
          <w:szCs w:val="32"/>
        </w:rPr>
        <w:t>车保有</w:t>
      </w:r>
      <w:r>
        <w:rPr>
          <w:rFonts w:hint="default" w:ascii="Times New Roman" w:eastAsia="仿宋_GB2312"/>
          <w:kern w:val="2"/>
          <w:sz w:val="32"/>
          <w:szCs w:val="32"/>
        </w:rPr>
        <w:t>量</w:t>
      </w:r>
      <w:r>
        <w:rPr>
          <w:rFonts w:ascii="Times New Roman" w:eastAsia="仿宋_GB2312"/>
          <w:kern w:val="2"/>
          <w:sz w:val="32"/>
          <w:szCs w:val="32"/>
        </w:rPr>
        <w:t>大</w:t>
      </w:r>
      <w:r>
        <w:rPr>
          <w:rFonts w:hint="default" w:ascii="Times New Roman" w:eastAsia="仿宋_GB2312"/>
          <w:kern w:val="2"/>
          <w:sz w:val="32"/>
          <w:szCs w:val="32"/>
        </w:rPr>
        <w:t>、营运</w:t>
      </w:r>
      <w:r>
        <w:rPr>
          <w:rFonts w:ascii="Times New Roman" w:eastAsia="仿宋_GB2312"/>
          <w:kern w:val="2"/>
          <w:sz w:val="32"/>
          <w:szCs w:val="32"/>
        </w:rPr>
        <w:t>里程</w:t>
      </w:r>
      <w:r>
        <w:rPr>
          <w:rFonts w:hint="default" w:ascii="Times New Roman" w:eastAsia="仿宋_GB2312"/>
          <w:kern w:val="2"/>
          <w:sz w:val="32"/>
          <w:szCs w:val="32"/>
        </w:rPr>
        <w:t>长</w:t>
      </w:r>
      <w:r>
        <w:rPr>
          <w:rFonts w:ascii="Times New Roman" w:eastAsia="仿宋_GB2312"/>
          <w:kern w:val="2"/>
          <w:sz w:val="32"/>
          <w:szCs w:val="32"/>
        </w:rPr>
        <w:t>，</w:t>
      </w:r>
      <w:r>
        <w:rPr>
          <w:rFonts w:hint="default" w:ascii="Times New Roman" w:eastAsia="仿宋_GB2312"/>
          <w:kern w:val="2"/>
          <w:sz w:val="32"/>
          <w:szCs w:val="32"/>
        </w:rPr>
        <w:t>具备较大</w:t>
      </w:r>
      <w:r>
        <w:rPr>
          <w:rFonts w:ascii="Times New Roman" w:eastAsia="仿宋_GB2312"/>
          <w:kern w:val="2"/>
          <w:sz w:val="32"/>
          <w:szCs w:val="32"/>
        </w:rPr>
        <w:t>减排潜力。</w:t>
      </w:r>
    </w:p>
    <w:p w14:paraId="372BDAAD">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为</w:t>
      </w:r>
      <w:r>
        <w:rPr>
          <w:rFonts w:hint="default" w:ascii="Times New Roman" w:eastAsia="仿宋_GB2312"/>
          <w:kern w:val="2"/>
          <w:sz w:val="32"/>
          <w:szCs w:val="32"/>
        </w:rPr>
        <w:t>贯彻</w:t>
      </w:r>
      <w:r>
        <w:rPr>
          <w:rFonts w:ascii="Times New Roman" w:eastAsia="仿宋_GB2312"/>
          <w:kern w:val="2"/>
          <w:sz w:val="32"/>
          <w:szCs w:val="32"/>
        </w:rPr>
        <w:t>落实党中央、国务院关于碳达峰、碳中和</w:t>
      </w:r>
      <w:r>
        <w:rPr>
          <w:rFonts w:hint="default" w:ascii="Times New Roman" w:eastAsia="仿宋_GB2312"/>
          <w:kern w:val="2"/>
          <w:sz w:val="32"/>
          <w:szCs w:val="32"/>
        </w:rPr>
        <w:t>的</w:t>
      </w:r>
      <w:r>
        <w:rPr>
          <w:rFonts w:ascii="Times New Roman" w:eastAsia="仿宋_GB2312"/>
          <w:kern w:val="2"/>
          <w:sz w:val="32"/>
          <w:szCs w:val="32"/>
        </w:rPr>
        <w:t>重大战略</w:t>
      </w:r>
      <w:r>
        <w:rPr>
          <w:rFonts w:hint="default" w:ascii="Times New Roman" w:eastAsia="仿宋_GB2312"/>
          <w:kern w:val="2"/>
          <w:sz w:val="32"/>
          <w:szCs w:val="32"/>
        </w:rPr>
        <w:t>部署</w:t>
      </w:r>
      <w:r>
        <w:rPr>
          <w:rFonts w:ascii="Times New Roman" w:eastAsia="仿宋_GB2312"/>
          <w:kern w:val="2"/>
          <w:sz w:val="32"/>
          <w:szCs w:val="32"/>
        </w:rPr>
        <w:t>，</w:t>
      </w:r>
      <w:r>
        <w:rPr>
          <w:rFonts w:hint="default" w:ascii="Times New Roman" w:eastAsia="仿宋_GB2312"/>
          <w:kern w:val="2"/>
          <w:sz w:val="32"/>
          <w:szCs w:val="32"/>
        </w:rPr>
        <w:t>市政府印发了</w:t>
      </w:r>
      <w:r>
        <w:rPr>
          <w:rFonts w:ascii="Times New Roman" w:eastAsia="仿宋_GB2312"/>
          <w:kern w:val="2"/>
          <w:sz w:val="32"/>
          <w:szCs w:val="32"/>
        </w:rPr>
        <w:t>《北京市碳达峰实施方案》</w:t>
      </w:r>
      <w:r>
        <w:rPr>
          <w:rFonts w:hint="default" w:ascii="Times New Roman" w:eastAsia="仿宋_GB2312"/>
          <w:kern w:val="2"/>
          <w:sz w:val="32"/>
          <w:szCs w:val="32"/>
        </w:rPr>
        <w:t>，明确严控化石能源利用规模，推进终端能源消费电气化，通过机动车“油换电”等措施，实现化石能源消费总量逐步下降。2024年市委市政府出台了《关于全面建设美丽北京加快推进人与自然和谐共生的现代化的实施意见》，提出优化交通运输结构，完善新能源汽车强产业、增设施、促消费、优通行等“一揽子”支持政策，推动公共、社会领域车辆“油换电”。</w:t>
      </w:r>
      <w:r>
        <w:rPr>
          <w:rFonts w:ascii="Times New Roman" w:eastAsia="仿宋_GB2312"/>
          <w:kern w:val="2"/>
          <w:sz w:val="32"/>
          <w:szCs w:val="32"/>
        </w:rPr>
        <w:t>本方法学</w:t>
      </w:r>
      <w:r>
        <w:rPr>
          <w:rFonts w:hint="default" w:ascii="Times New Roman" w:eastAsia="仿宋_GB2312"/>
          <w:kern w:val="2"/>
          <w:sz w:val="32"/>
          <w:szCs w:val="32"/>
        </w:rPr>
        <w:t>依托市场化</w:t>
      </w:r>
      <w:r>
        <w:rPr>
          <w:rFonts w:ascii="Times New Roman" w:eastAsia="仿宋_GB2312"/>
          <w:kern w:val="2"/>
          <w:sz w:val="32"/>
          <w:szCs w:val="32"/>
        </w:rPr>
        <w:t>机制</w:t>
      </w:r>
      <w:r>
        <w:rPr>
          <w:rFonts w:hint="default" w:ascii="Times New Roman" w:eastAsia="仿宋_GB2312"/>
          <w:kern w:val="2"/>
          <w:sz w:val="32"/>
          <w:szCs w:val="32"/>
        </w:rPr>
        <w:t>聚焦</w:t>
      </w:r>
      <w:r>
        <w:rPr>
          <w:rFonts w:ascii="Times New Roman" w:eastAsia="仿宋_GB2312"/>
          <w:kern w:val="2"/>
          <w:sz w:val="32"/>
          <w:szCs w:val="32"/>
        </w:rPr>
        <w:t>网约车</w:t>
      </w:r>
      <w:r>
        <w:rPr>
          <w:rFonts w:hint="default" w:ascii="Times New Roman" w:eastAsia="仿宋_GB2312"/>
          <w:kern w:val="2"/>
          <w:sz w:val="32"/>
          <w:szCs w:val="32"/>
        </w:rPr>
        <w:t>的电动化替代，引导群众优先选择电动网约车出行，为实现</w:t>
      </w:r>
      <w:r>
        <w:rPr>
          <w:rFonts w:ascii="Times New Roman" w:eastAsia="仿宋_GB2312"/>
          <w:kern w:val="2"/>
          <w:sz w:val="32"/>
          <w:szCs w:val="32"/>
        </w:rPr>
        <w:t>交通领域深度</w:t>
      </w:r>
      <w:r>
        <w:rPr>
          <w:rFonts w:hint="default" w:ascii="Times New Roman" w:eastAsia="仿宋_GB2312"/>
          <w:kern w:val="2"/>
          <w:sz w:val="32"/>
          <w:szCs w:val="32"/>
        </w:rPr>
        <w:t>降</w:t>
      </w:r>
      <w:r>
        <w:rPr>
          <w:rFonts w:ascii="Times New Roman" w:eastAsia="仿宋_GB2312"/>
          <w:kern w:val="2"/>
          <w:sz w:val="32"/>
          <w:szCs w:val="32"/>
        </w:rPr>
        <w:t>碳提供了创新技术</w:t>
      </w:r>
      <w:r>
        <w:rPr>
          <w:rFonts w:hint="default" w:ascii="Times New Roman" w:eastAsia="仿宋_GB2312"/>
          <w:kern w:val="2"/>
          <w:sz w:val="32"/>
          <w:szCs w:val="32"/>
        </w:rPr>
        <w:t>规范与</w:t>
      </w:r>
      <w:r>
        <w:rPr>
          <w:rFonts w:ascii="Times New Roman" w:eastAsia="仿宋_GB2312"/>
          <w:kern w:val="2"/>
          <w:sz w:val="32"/>
          <w:szCs w:val="32"/>
        </w:rPr>
        <w:t>市场</w:t>
      </w:r>
      <w:r>
        <w:rPr>
          <w:rFonts w:hint="default" w:ascii="Times New Roman" w:eastAsia="仿宋_GB2312"/>
          <w:kern w:val="2"/>
          <w:sz w:val="32"/>
          <w:szCs w:val="32"/>
        </w:rPr>
        <w:t>化实施</w:t>
      </w:r>
      <w:r>
        <w:rPr>
          <w:rFonts w:ascii="Times New Roman" w:eastAsia="仿宋_GB2312"/>
          <w:kern w:val="2"/>
          <w:sz w:val="32"/>
          <w:szCs w:val="32"/>
        </w:rPr>
        <w:t>路径。</w:t>
      </w:r>
    </w:p>
    <w:p w14:paraId="616B8051">
      <w:pPr>
        <w:keepNext/>
        <w:keepLines/>
        <w:widowControl w:val="0"/>
        <w:spacing w:line="560" w:lineRule="exact"/>
        <w:ind w:firstLine="640"/>
        <w:jc w:val="both"/>
        <w:outlineLvl w:val="0"/>
        <w:rPr>
          <w:rFonts w:hint="default" w:ascii="Times New Roman" w:hAnsi="Times New Roman" w:eastAsia="黑体"/>
          <w:bCs/>
          <w:kern w:val="44"/>
          <w:sz w:val="32"/>
          <w:szCs w:val="32"/>
        </w:rPr>
      </w:pPr>
      <w:r>
        <w:rPr>
          <w:rFonts w:ascii="Times New Roman" w:hAnsi="Times New Roman" w:eastAsia="黑体"/>
          <w:bCs/>
          <w:kern w:val="44"/>
          <w:sz w:val="32"/>
          <w:szCs w:val="32"/>
        </w:rPr>
        <w:t>二、编制过程</w:t>
      </w:r>
    </w:p>
    <w:p w14:paraId="6FE01F09">
      <w:pPr>
        <w:adjustRightInd w:val="0"/>
        <w:snapToGri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eastAsia="仿宋_GB2312"/>
          <w:kern w:val="2"/>
          <w:sz w:val="32"/>
          <w:szCs w:val="32"/>
        </w:rPr>
        <w:t>2025年9月</w:t>
      </w:r>
      <w:r>
        <w:rPr>
          <w:rFonts w:hint="eastAsia" w:eastAsia="仿宋_GB2312"/>
          <w:kern w:val="2"/>
          <w:sz w:val="32"/>
          <w:szCs w:val="32"/>
          <w:lang w:val="en-US" w:eastAsia="zh-CN"/>
        </w:rPr>
        <w:t>-</w:t>
      </w:r>
      <w:r>
        <w:rPr>
          <w:rFonts w:hint="default" w:ascii="Times New Roman" w:eastAsia="仿宋_GB2312"/>
          <w:kern w:val="2"/>
          <w:sz w:val="32"/>
          <w:szCs w:val="32"/>
        </w:rPr>
        <w:t>1</w:t>
      </w:r>
      <w:r>
        <w:rPr>
          <w:rFonts w:hint="default" w:ascii="Times New Roman" w:eastAsia="仿宋_GB2312"/>
          <w:kern w:val="2"/>
          <w:sz w:val="32"/>
          <w:szCs w:val="32"/>
          <w:highlight w:val="none"/>
        </w:rPr>
        <w:t>0月</w:t>
      </w:r>
      <w:r>
        <w:rPr>
          <w:rFonts w:hint="default" w:ascii="Times New Roman" w:eastAsia="仿宋_GB2312"/>
          <w:kern w:val="2"/>
          <w:sz w:val="32"/>
          <w:szCs w:val="32"/>
        </w:rPr>
        <w:t>，北京市生态环境局印发相关通知，面向全社会公开征集碳普惠方法学开发需求，有序组织开展方法学建议的评估遴选工作</w:t>
      </w:r>
      <w:r>
        <w:rPr>
          <w:rFonts w:hint="eastAsia" w:eastAsia="仿宋_GB2312"/>
          <w:kern w:val="2"/>
          <w:sz w:val="32"/>
          <w:szCs w:val="32"/>
          <w:lang w:eastAsia="zh-CN"/>
        </w:rPr>
        <w:t>，</w:t>
      </w:r>
      <w:r>
        <w:rPr>
          <w:rFonts w:hint="eastAsia" w:ascii="Times New Roman" w:hAnsi="Times New Roman" w:eastAsia="仿宋_GB2312" w:cs="Times New Roman"/>
          <w:color w:val="000000"/>
          <w:sz w:val="32"/>
          <w:szCs w:val="32"/>
          <w:lang w:eastAsia="zh-CN"/>
        </w:rPr>
        <w:t>方法学建议提交单位及领域专家成立方法学编制</w:t>
      </w:r>
      <w:r>
        <w:rPr>
          <w:rFonts w:hint="eastAsia" w:eastAsia="仿宋_GB2312" w:cs="Times New Roman"/>
          <w:color w:val="000000"/>
          <w:sz w:val="32"/>
          <w:szCs w:val="32"/>
          <w:lang w:eastAsia="zh-CN"/>
        </w:rPr>
        <w:t>工作</w:t>
      </w:r>
      <w:r>
        <w:rPr>
          <w:rFonts w:hint="eastAsia" w:ascii="Times New Roman" w:hAnsi="Times New Roman" w:eastAsia="仿宋_GB2312" w:cs="Times New Roman"/>
          <w:color w:val="000000"/>
          <w:sz w:val="32"/>
          <w:szCs w:val="32"/>
          <w:lang w:eastAsia="zh-CN"/>
        </w:rPr>
        <w:t>组</w:t>
      </w:r>
      <w:r>
        <w:rPr>
          <w:rFonts w:hint="default" w:ascii="Times New Roman" w:hAnsi="Times New Roman" w:eastAsia="仿宋_GB2312" w:cs="Times New Roman"/>
          <w:color w:val="000000"/>
          <w:sz w:val="32"/>
          <w:szCs w:val="32"/>
        </w:rPr>
        <w:t>。</w:t>
      </w:r>
    </w:p>
    <w:p w14:paraId="315B0A36">
      <w:pPr>
        <w:widowControl w:val="0"/>
        <w:spacing w:line="560" w:lineRule="exact"/>
        <w:ind w:firstLine="640"/>
        <w:jc w:val="both"/>
        <w:rPr>
          <w:rFonts w:hint="default" w:ascii="Times New Roman" w:eastAsia="仿宋_GB2312"/>
          <w:kern w:val="2"/>
          <w:sz w:val="32"/>
          <w:szCs w:val="32"/>
        </w:rPr>
      </w:pPr>
      <w:r>
        <w:rPr>
          <w:rFonts w:hint="default" w:ascii="Times New Roman" w:eastAsia="仿宋_GB2312"/>
          <w:kern w:val="2"/>
          <w:sz w:val="32"/>
          <w:szCs w:val="32"/>
        </w:rPr>
        <w:t>2025年11月</w:t>
      </w:r>
      <w:r>
        <w:rPr>
          <w:rFonts w:hint="eastAsia" w:eastAsia="仿宋_GB2312"/>
          <w:kern w:val="2"/>
          <w:sz w:val="32"/>
          <w:szCs w:val="32"/>
          <w:lang w:val="en-US" w:eastAsia="zh-CN"/>
        </w:rPr>
        <w:t>-</w:t>
      </w:r>
      <w:r>
        <w:rPr>
          <w:rFonts w:hint="default" w:ascii="Times New Roman" w:eastAsia="仿宋_GB2312"/>
          <w:kern w:val="2"/>
          <w:sz w:val="32"/>
          <w:szCs w:val="32"/>
        </w:rPr>
        <w:t>2026年1月，</w:t>
      </w:r>
      <w:r>
        <w:rPr>
          <w:rFonts w:hint="default" w:ascii="Times New Roman" w:hAnsi="Times New Roman" w:eastAsia="仿宋_GB2312" w:cs="Times New Roman"/>
          <w:color w:val="000000"/>
          <w:sz w:val="32"/>
          <w:szCs w:val="32"/>
          <w:lang w:val="en-US" w:eastAsia="zh-CN"/>
        </w:rPr>
        <w:t>编制工作组</w:t>
      </w:r>
      <w:r>
        <w:rPr>
          <w:rFonts w:hint="eastAsia" w:ascii="Times New Roman" w:hAnsi="Times New Roman" w:eastAsia="仿宋_GB2312" w:cs="Times New Roman"/>
          <w:color w:val="000000"/>
          <w:sz w:val="32"/>
          <w:szCs w:val="32"/>
          <w:lang w:val="en-US" w:eastAsia="zh-CN"/>
        </w:rPr>
        <w:t>通过专家评审会、组织座谈等方式</w:t>
      </w:r>
      <w:r>
        <w:rPr>
          <w:rFonts w:hint="default" w:ascii="Times New Roman" w:hAnsi="Times New Roman" w:eastAsia="仿宋_GB2312" w:cs="Times New Roman"/>
          <w:color w:val="000000"/>
          <w:sz w:val="32"/>
          <w:szCs w:val="32"/>
          <w:lang w:val="en-US" w:eastAsia="zh-CN"/>
        </w:rPr>
        <w:t>，</w:t>
      </w:r>
      <w:r>
        <w:rPr>
          <w:rFonts w:hint="default" w:ascii="Times New Roman" w:eastAsia="仿宋_GB2312"/>
          <w:kern w:val="2"/>
          <w:sz w:val="32"/>
          <w:szCs w:val="32"/>
        </w:rPr>
        <w:t>重点围绕方法学的项目边界、基准线与项目排放计算公式、碳排放因子选择等内容开展专题研讨，明确优化完善意见。</w:t>
      </w:r>
    </w:p>
    <w:p w14:paraId="1428BC04">
      <w:pPr>
        <w:widowControl w:val="0"/>
        <w:spacing w:line="560" w:lineRule="exact"/>
        <w:ind w:firstLine="640"/>
        <w:jc w:val="both"/>
        <w:rPr>
          <w:rFonts w:hint="default" w:ascii="Times New Roman" w:eastAsia="仿宋_GB2312"/>
          <w:kern w:val="2"/>
          <w:sz w:val="32"/>
          <w:szCs w:val="32"/>
        </w:rPr>
      </w:pPr>
      <w:r>
        <w:rPr>
          <w:rFonts w:hint="default" w:ascii="Times New Roman" w:eastAsia="仿宋_GB2312"/>
          <w:kern w:val="2"/>
          <w:sz w:val="32"/>
          <w:szCs w:val="32"/>
        </w:rPr>
        <w:t>2026年2月</w:t>
      </w:r>
      <w:r>
        <w:rPr>
          <w:rFonts w:hint="eastAsia" w:eastAsia="仿宋_GB2312"/>
          <w:kern w:val="2"/>
          <w:sz w:val="32"/>
          <w:szCs w:val="32"/>
          <w:lang w:val="en-US" w:eastAsia="zh-CN"/>
        </w:rPr>
        <w:t>-</w:t>
      </w:r>
      <w:r>
        <w:rPr>
          <w:rFonts w:hint="default" w:ascii="Times New Roman" w:eastAsia="仿宋_GB2312"/>
          <w:kern w:val="2"/>
          <w:sz w:val="32"/>
          <w:szCs w:val="32"/>
        </w:rPr>
        <w:t>7月，编制工作组，按照专家意见，对方法学文本进一步修改完善，科学校准基准线、项目情景相关核算参数，健全监测数据采集校准机制，统一规范行文格式与专业表述，删除重复冗余情景设置与附属说明，明确项目落地实施与收益分配细化要求，保障项目具备长期稳定实施条件。经多方研讨修订后，形成本方法学征求意见稿。</w:t>
      </w:r>
    </w:p>
    <w:p w14:paraId="15DA706C">
      <w:pPr>
        <w:keepNext/>
        <w:keepLines/>
        <w:widowControl w:val="0"/>
        <w:spacing w:line="560" w:lineRule="exact"/>
        <w:ind w:firstLine="640"/>
        <w:jc w:val="both"/>
        <w:outlineLvl w:val="0"/>
        <w:rPr>
          <w:rFonts w:hint="default" w:ascii="Times New Roman" w:hAnsi="Times New Roman" w:eastAsia="黑体"/>
          <w:bCs/>
          <w:kern w:val="44"/>
          <w:sz w:val="32"/>
          <w:szCs w:val="32"/>
        </w:rPr>
      </w:pPr>
      <w:r>
        <w:rPr>
          <w:rFonts w:ascii="Times New Roman" w:hAnsi="Times New Roman" w:eastAsia="黑体"/>
          <w:bCs/>
          <w:kern w:val="44"/>
          <w:sz w:val="32"/>
          <w:szCs w:val="32"/>
        </w:rPr>
        <w:t>三、主要内容</w:t>
      </w:r>
    </w:p>
    <w:p w14:paraId="7DB7FFFB">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本方法学共包括</w:t>
      </w:r>
      <w:r>
        <w:rPr>
          <w:rFonts w:hint="default" w:ascii="Times New Roman" w:eastAsia="仿宋_GB2312"/>
          <w:kern w:val="2"/>
          <w:sz w:val="32"/>
          <w:szCs w:val="32"/>
        </w:rPr>
        <w:t>10</w:t>
      </w:r>
      <w:r>
        <w:rPr>
          <w:rFonts w:ascii="Times New Roman" w:eastAsia="仿宋_GB2312"/>
          <w:kern w:val="2"/>
          <w:sz w:val="32"/>
          <w:szCs w:val="32"/>
        </w:rPr>
        <w:t>章。</w:t>
      </w:r>
    </w:p>
    <w:p w14:paraId="1E2F2615">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第1章</w:t>
      </w:r>
      <w:r>
        <w:rPr>
          <w:rFonts w:hint="default" w:ascii="Times New Roman" w:eastAsia="仿宋_GB2312"/>
          <w:kern w:val="2"/>
          <w:sz w:val="32"/>
          <w:szCs w:val="32"/>
        </w:rPr>
        <w:t>“引言”</w:t>
      </w:r>
      <w:r>
        <w:rPr>
          <w:rFonts w:ascii="Times New Roman" w:eastAsia="仿宋_GB2312"/>
          <w:kern w:val="2"/>
          <w:sz w:val="32"/>
          <w:szCs w:val="32"/>
        </w:rPr>
        <w:t>，界定</w:t>
      </w:r>
      <w:r>
        <w:rPr>
          <w:rFonts w:hint="default" w:ascii="Times New Roman" w:eastAsia="仿宋_GB2312"/>
          <w:kern w:val="2"/>
          <w:sz w:val="32"/>
          <w:szCs w:val="32"/>
        </w:rPr>
        <w:t>了</w:t>
      </w:r>
      <w:r>
        <w:rPr>
          <w:rFonts w:ascii="Times New Roman" w:eastAsia="仿宋_GB2312"/>
          <w:kern w:val="2"/>
          <w:sz w:val="32"/>
          <w:szCs w:val="32"/>
        </w:rPr>
        <w:t>电动网约车出行减排机理</w:t>
      </w:r>
      <w:r>
        <w:rPr>
          <w:rFonts w:hint="default" w:ascii="Times New Roman" w:eastAsia="仿宋_GB2312"/>
          <w:kern w:val="2"/>
          <w:sz w:val="32"/>
          <w:szCs w:val="32"/>
        </w:rPr>
        <w:t>，指居民选择纯电驱动的网络预约出租汽车代替其他各种能源类型的网约车出行的行为。</w:t>
      </w:r>
      <w:r>
        <w:rPr>
          <w:rFonts w:ascii="Times New Roman" w:eastAsia="仿宋_GB2312"/>
          <w:kern w:val="2"/>
          <w:sz w:val="32"/>
          <w:szCs w:val="32"/>
        </w:rPr>
        <w:t>明确本方法学归属低碳交通领域</w:t>
      </w:r>
      <w:r>
        <w:rPr>
          <w:rFonts w:hint="default" w:ascii="Times New Roman" w:eastAsia="仿宋_GB2312"/>
          <w:kern w:val="2"/>
          <w:sz w:val="32"/>
          <w:szCs w:val="32"/>
        </w:rPr>
        <w:t>方法学</w:t>
      </w:r>
      <w:r>
        <w:rPr>
          <w:rFonts w:ascii="Times New Roman" w:eastAsia="仿宋_GB2312"/>
          <w:kern w:val="2"/>
          <w:sz w:val="32"/>
          <w:szCs w:val="32"/>
        </w:rPr>
        <w:t>。</w:t>
      </w:r>
    </w:p>
    <w:p w14:paraId="4620D1A2">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第2章</w:t>
      </w:r>
      <w:r>
        <w:rPr>
          <w:rFonts w:hint="default" w:ascii="Times New Roman" w:eastAsia="仿宋_GB2312"/>
          <w:kern w:val="2"/>
          <w:sz w:val="32"/>
          <w:szCs w:val="32"/>
        </w:rPr>
        <w:t>“适用条件”</w:t>
      </w:r>
      <w:r>
        <w:rPr>
          <w:rFonts w:ascii="Times New Roman" w:eastAsia="仿宋_GB2312"/>
          <w:kern w:val="2"/>
          <w:sz w:val="32"/>
          <w:szCs w:val="32"/>
        </w:rPr>
        <w:t>，</w:t>
      </w:r>
      <w:r>
        <w:rPr>
          <w:rFonts w:hint="default" w:ascii="Times New Roman" w:eastAsia="仿宋_GB2312"/>
          <w:kern w:val="2"/>
          <w:sz w:val="32"/>
          <w:szCs w:val="32"/>
        </w:rPr>
        <w:t>明确本方法学适用于北京</w:t>
      </w:r>
      <w:r>
        <w:rPr>
          <w:rFonts w:ascii="Times New Roman" w:eastAsia="仿宋_GB2312"/>
          <w:kern w:val="2"/>
          <w:sz w:val="32"/>
          <w:szCs w:val="32"/>
        </w:rPr>
        <w:t>市行政区域范围内纯电驱动</w:t>
      </w:r>
      <w:r>
        <w:rPr>
          <w:rFonts w:hint="default" w:ascii="Times New Roman" w:eastAsia="仿宋_GB2312"/>
          <w:kern w:val="2"/>
          <w:sz w:val="32"/>
          <w:szCs w:val="32"/>
        </w:rPr>
        <w:t>的网约车活动，提出项目参与用户、</w:t>
      </w:r>
      <w:r>
        <w:rPr>
          <w:rFonts w:ascii="Times New Roman" w:eastAsia="仿宋_GB2312"/>
          <w:kern w:val="2"/>
          <w:sz w:val="32"/>
          <w:szCs w:val="32"/>
        </w:rPr>
        <w:t>项目开发平台</w:t>
      </w:r>
      <w:r>
        <w:rPr>
          <w:rFonts w:hint="default" w:ascii="Times New Roman" w:eastAsia="仿宋_GB2312"/>
          <w:kern w:val="2"/>
          <w:sz w:val="32"/>
          <w:szCs w:val="32"/>
        </w:rPr>
        <w:t>等方面的要求。</w:t>
      </w:r>
    </w:p>
    <w:p w14:paraId="60910F6F">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第3章</w:t>
      </w:r>
      <w:r>
        <w:rPr>
          <w:rFonts w:hint="default" w:ascii="Times New Roman" w:eastAsia="仿宋_GB2312"/>
          <w:kern w:val="2"/>
          <w:sz w:val="32"/>
          <w:szCs w:val="32"/>
        </w:rPr>
        <w:t>“引用文件”</w:t>
      </w:r>
      <w:r>
        <w:rPr>
          <w:rFonts w:ascii="Times New Roman" w:eastAsia="仿宋_GB2312"/>
          <w:kern w:val="2"/>
          <w:sz w:val="32"/>
          <w:szCs w:val="32"/>
        </w:rPr>
        <w:t>，列出了本方法学引用的</w:t>
      </w:r>
      <w:r>
        <w:rPr>
          <w:rFonts w:hint="default" w:ascii="Times New Roman" w:eastAsia="仿宋_GB2312"/>
          <w:kern w:val="2"/>
          <w:sz w:val="32"/>
          <w:szCs w:val="32"/>
        </w:rPr>
        <w:t>政策文件和相关标准</w:t>
      </w:r>
      <w:r>
        <w:rPr>
          <w:rFonts w:ascii="Times New Roman" w:eastAsia="仿宋_GB2312"/>
          <w:kern w:val="2"/>
          <w:sz w:val="32"/>
          <w:szCs w:val="32"/>
        </w:rPr>
        <w:t>。</w:t>
      </w:r>
    </w:p>
    <w:p w14:paraId="427AB5FA">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第4章</w:t>
      </w:r>
      <w:r>
        <w:rPr>
          <w:rFonts w:hint="default" w:ascii="Times New Roman" w:eastAsia="仿宋_GB2312"/>
          <w:kern w:val="2"/>
          <w:sz w:val="32"/>
          <w:szCs w:val="32"/>
        </w:rPr>
        <w:t>“</w:t>
      </w:r>
      <w:r>
        <w:rPr>
          <w:rFonts w:ascii="Times New Roman" w:eastAsia="仿宋_GB2312"/>
          <w:kern w:val="2"/>
          <w:sz w:val="32"/>
          <w:szCs w:val="32"/>
        </w:rPr>
        <w:t>术语与定义</w:t>
      </w:r>
      <w:r>
        <w:rPr>
          <w:rFonts w:hint="default" w:ascii="Times New Roman" w:eastAsia="仿宋_GB2312"/>
          <w:kern w:val="2"/>
          <w:sz w:val="32"/>
          <w:szCs w:val="32"/>
        </w:rPr>
        <w:t>”</w:t>
      </w:r>
      <w:r>
        <w:rPr>
          <w:rFonts w:ascii="Times New Roman" w:eastAsia="仿宋_GB2312"/>
          <w:kern w:val="2"/>
          <w:sz w:val="32"/>
          <w:szCs w:val="32"/>
        </w:rPr>
        <w:t>，</w:t>
      </w:r>
      <w:r>
        <w:rPr>
          <w:rFonts w:hint="default" w:ascii="Times New Roman" w:eastAsia="仿宋_GB2312"/>
          <w:kern w:val="2"/>
          <w:sz w:val="32"/>
          <w:szCs w:val="32"/>
        </w:rPr>
        <w:t>规定了5个主要术语，包含</w:t>
      </w:r>
      <w:r>
        <w:rPr>
          <w:rFonts w:ascii="Times New Roman" w:eastAsia="仿宋_GB2312"/>
          <w:kern w:val="2"/>
          <w:sz w:val="32"/>
          <w:szCs w:val="32"/>
        </w:rPr>
        <w:t>电动网约车</w:t>
      </w:r>
      <w:r>
        <w:rPr>
          <w:rFonts w:hint="default" w:ascii="Times New Roman" w:eastAsia="仿宋_GB2312"/>
          <w:kern w:val="2"/>
          <w:sz w:val="32"/>
          <w:szCs w:val="32"/>
        </w:rPr>
        <w:t>、</w:t>
      </w:r>
      <w:r>
        <w:rPr>
          <w:rFonts w:ascii="Times New Roman" w:eastAsia="仿宋_GB2312"/>
          <w:kern w:val="2"/>
          <w:sz w:val="32"/>
          <w:szCs w:val="32"/>
        </w:rPr>
        <w:t>碳普惠项目</w:t>
      </w:r>
      <w:r>
        <w:rPr>
          <w:rFonts w:hint="default" w:ascii="Times New Roman" w:eastAsia="仿宋_GB2312"/>
          <w:kern w:val="2"/>
          <w:sz w:val="32"/>
          <w:szCs w:val="32"/>
        </w:rPr>
        <w:t>、项目开发方、注册参与用户和基准年的定义。</w:t>
      </w:r>
    </w:p>
    <w:p w14:paraId="66133ADE">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第5章</w:t>
      </w:r>
      <w:r>
        <w:rPr>
          <w:rFonts w:hint="default" w:ascii="Times New Roman" w:eastAsia="仿宋_GB2312"/>
          <w:kern w:val="2"/>
          <w:sz w:val="32"/>
          <w:szCs w:val="32"/>
        </w:rPr>
        <w:t>“</w:t>
      </w:r>
      <w:r>
        <w:rPr>
          <w:rFonts w:ascii="Times New Roman" w:eastAsia="仿宋_GB2312"/>
          <w:kern w:val="2"/>
          <w:sz w:val="32"/>
          <w:szCs w:val="32"/>
        </w:rPr>
        <w:t>项目边界、计入期和温室气体排放源</w:t>
      </w:r>
      <w:r>
        <w:rPr>
          <w:rFonts w:hint="default" w:ascii="Times New Roman" w:eastAsia="仿宋_GB2312"/>
          <w:kern w:val="2"/>
          <w:sz w:val="32"/>
          <w:szCs w:val="32"/>
        </w:rPr>
        <w:t>”</w:t>
      </w:r>
      <w:r>
        <w:rPr>
          <w:rFonts w:ascii="Times New Roman" w:eastAsia="仿宋_GB2312"/>
          <w:kern w:val="2"/>
          <w:sz w:val="32"/>
          <w:szCs w:val="32"/>
        </w:rPr>
        <w:t>，清晰界定项目地理与活动边界；规</w:t>
      </w:r>
      <w:r>
        <w:rPr>
          <w:rFonts w:ascii="Times New Roman" w:eastAsia="仿宋_GB2312"/>
          <w:kern w:val="2"/>
          <w:sz w:val="32"/>
          <w:szCs w:val="32"/>
          <w:highlight w:val="none"/>
        </w:rPr>
        <w:t>定项目</w:t>
      </w:r>
      <w:r>
        <w:rPr>
          <w:rFonts w:hint="default" w:ascii="Times New Roman" w:eastAsia="仿宋_GB2312"/>
          <w:kern w:val="2"/>
          <w:sz w:val="32"/>
          <w:szCs w:val="32"/>
          <w:highlight w:val="none"/>
        </w:rPr>
        <w:t>计入期最长2年</w:t>
      </w:r>
      <w:r>
        <w:rPr>
          <w:rFonts w:ascii="Times New Roman" w:eastAsia="仿宋_GB2312"/>
          <w:kern w:val="2"/>
          <w:sz w:val="32"/>
          <w:szCs w:val="32"/>
          <w:highlight w:val="none"/>
        </w:rPr>
        <w:t>；明</w:t>
      </w:r>
      <w:r>
        <w:rPr>
          <w:rFonts w:ascii="Times New Roman" w:eastAsia="仿宋_GB2312"/>
          <w:kern w:val="2"/>
          <w:sz w:val="32"/>
          <w:szCs w:val="32"/>
        </w:rPr>
        <w:t>确基准线、项目情景仅核算CO</w:t>
      </w:r>
      <w:r>
        <w:rPr>
          <w:rFonts w:hint="eastAsia" w:eastAsia="仿宋_GB2312"/>
          <w:kern w:val="2"/>
          <w:sz w:val="32"/>
          <w:szCs w:val="32"/>
          <w:vertAlign w:val="subscript"/>
          <w:lang w:eastAsia="zh-CN"/>
        </w:rPr>
        <w:t>2</w:t>
      </w:r>
      <w:r>
        <w:rPr>
          <w:rFonts w:ascii="Times New Roman" w:eastAsia="仿宋_GB2312"/>
          <w:kern w:val="2"/>
          <w:sz w:val="32"/>
          <w:szCs w:val="32"/>
        </w:rPr>
        <w:t>一种温室气体。</w:t>
      </w:r>
    </w:p>
    <w:p w14:paraId="7FC6E29E">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第6章</w:t>
      </w:r>
      <w:r>
        <w:rPr>
          <w:rFonts w:hint="default" w:ascii="Times New Roman" w:eastAsia="仿宋_GB2312"/>
          <w:kern w:val="2"/>
          <w:sz w:val="32"/>
          <w:szCs w:val="32"/>
        </w:rPr>
        <w:t>“</w:t>
      </w:r>
      <w:r>
        <w:rPr>
          <w:rFonts w:ascii="Times New Roman" w:eastAsia="仿宋_GB2312"/>
          <w:kern w:val="2"/>
          <w:sz w:val="32"/>
          <w:szCs w:val="32"/>
        </w:rPr>
        <w:t>减排量核算方法</w:t>
      </w:r>
      <w:r>
        <w:rPr>
          <w:rFonts w:hint="default" w:ascii="Times New Roman" w:eastAsia="仿宋_GB2312"/>
          <w:kern w:val="2"/>
          <w:sz w:val="32"/>
          <w:szCs w:val="32"/>
        </w:rPr>
        <w:t>”</w:t>
      </w:r>
      <w:r>
        <w:rPr>
          <w:rFonts w:ascii="Times New Roman" w:eastAsia="仿宋_GB2312"/>
          <w:kern w:val="2"/>
          <w:sz w:val="32"/>
          <w:szCs w:val="32"/>
        </w:rPr>
        <w:t>，依次说明基准线情景设定逻辑、基准线碳排放分步计算公式、电动网约车项目碳排放计算规则；明确本场景</w:t>
      </w:r>
      <w:r>
        <w:rPr>
          <w:rFonts w:hint="default" w:ascii="Times New Roman" w:eastAsia="仿宋_GB2312"/>
          <w:kern w:val="2"/>
          <w:sz w:val="32"/>
          <w:szCs w:val="32"/>
        </w:rPr>
        <w:t>不考虑</w:t>
      </w:r>
      <w:r>
        <w:rPr>
          <w:rFonts w:ascii="Times New Roman" w:eastAsia="仿宋_GB2312"/>
          <w:kern w:val="2"/>
          <w:sz w:val="32"/>
          <w:szCs w:val="32"/>
        </w:rPr>
        <w:t>泄漏排放；</w:t>
      </w:r>
      <w:r>
        <w:rPr>
          <w:rFonts w:hint="default" w:ascii="Times New Roman" w:eastAsia="仿宋_GB2312"/>
          <w:kern w:val="2"/>
          <w:sz w:val="32"/>
          <w:szCs w:val="32"/>
        </w:rPr>
        <w:t>并</w:t>
      </w:r>
      <w:r>
        <w:rPr>
          <w:rFonts w:ascii="Times New Roman" w:eastAsia="仿宋_GB2312"/>
          <w:kern w:val="2"/>
          <w:sz w:val="32"/>
          <w:szCs w:val="32"/>
        </w:rPr>
        <w:t>给出</w:t>
      </w:r>
      <w:r>
        <w:rPr>
          <w:rFonts w:hint="default" w:ascii="Times New Roman" w:eastAsia="仿宋_GB2312"/>
          <w:kern w:val="2"/>
          <w:sz w:val="32"/>
          <w:szCs w:val="32"/>
        </w:rPr>
        <w:t>项目</w:t>
      </w:r>
      <w:r>
        <w:rPr>
          <w:rFonts w:ascii="Times New Roman" w:eastAsia="仿宋_GB2312"/>
          <w:kern w:val="2"/>
          <w:sz w:val="32"/>
          <w:szCs w:val="32"/>
        </w:rPr>
        <w:t>减排量计算公式。</w:t>
      </w:r>
    </w:p>
    <w:p w14:paraId="2B190536">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第7章</w:t>
      </w:r>
      <w:r>
        <w:rPr>
          <w:rFonts w:hint="default" w:ascii="Times New Roman" w:eastAsia="仿宋_GB2312"/>
          <w:kern w:val="2"/>
          <w:sz w:val="32"/>
          <w:szCs w:val="32"/>
        </w:rPr>
        <w:t>“</w:t>
      </w:r>
      <w:r>
        <w:rPr>
          <w:rFonts w:ascii="Times New Roman" w:eastAsia="仿宋_GB2312"/>
          <w:kern w:val="2"/>
          <w:sz w:val="32"/>
          <w:szCs w:val="32"/>
        </w:rPr>
        <w:t>数据监测与管理</w:t>
      </w:r>
      <w:r>
        <w:rPr>
          <w:rFonts w:hint="default" w:ascii="Times New Roman" w:eastAsia="仿宋_GB2312"/>
          <w:kern w:val="2"/>
          <w:sz w:val="32"/>
          <w:szCs w:val="32"/>
        </w:rPr>
        <w:t>”，</w:t>
      </w:r>
      <w:r>
        <w:rPr>
          <w:rFonts w:ascii="Times New Roman" w:eastAsia="仿宋_GB2312"/>
          <w:kern w:val="2"/>
          <w:sz w:val="32"/>
          <w:szCs w:val="32"/>
        </w:rPr>
        <w:t>列</w:t>
      </w:r>
      <w:r>
        <w:rPr>
          <w:rFonts w:hint="default" w:ascii="Times New Roman" w:eastAsia="仿宋_GB2312"/>
          <w:kern w:val="2"/>
          <w:sz w:val="32"/>
          <w:szCs w:val="32"/>
        </w:rPr>
        <w:t>出</w:t>
      </w:r>
      <w:r>
        <w:rPr>
          <w:rFonts w:ascii="Times New Roman" w:eastAsia="仿宋_GB2312"/>
          <w:kern w:val="2"/>
          <w:sz w:val="32"/>
          <w:szCs w:val="32"/>
        </w:rPr>
        <w:t>出行次数、</w:t>
      </w:r>
      <w:r>
        <w:rPr>
          <w:rFonts w:hint="default" w:ascii="Times New Roman" w:eastAsia="仿宋_GB2312"/>
          <w:kern w:val="2"/>
          <w:sz w:val="32"/>
          <w:szCs w:val="32"/>
        </w:rPr>
        <w:t>出行</w:t>
      </w:r>
      <w:r>
        <w:rPr>
          <w:rFonts w:ascii="Times New Roman" w:eastAsia="仿宋_GB2312"/>
          <w:kern w:val="2"/>
          <w:sz w:val="32"/>
          <w:szCs w:val="32"/>
        </w:rPr>
        <w:t>起止坐标、轨迹</w:t>
      </w:r>
      <w:r>
        <w:rPr>
          <w:rFonts w:hint="default" w:ascii="Times New Roman" w:eastAsia="仿宋_GB2312"/>
          <w:kern w:val="2"/>
          <w:sz w:val="32"/>
          <w:szCs w:val="32"/>
        </w:rPr>
        <w:t>坐标</w:t>
      </w:r>
      <w:r>
        <w:rPr>
          <w:rFonts w:ascii="Times New Roman" w:eastAsia="仿宋_GB2312"/>
          <w:kern w:val="2"/>
          <w:sz w:val="32"/>
          <w:szCs w:val="32"/>
        </w:rPr>
        <w:t>、行驶里程</w:t>
      </w:r>
      <w:r>
        <w:rPr>
          <w:rFonts w:hint="default" w:ascii="Times New Roman" w:eastAsia="仿宋_GB2312"/>
          <w:kern w:val="2"/>
          <w:sz w:val="32"/>
          <w:szCs w:val="32"/>
        </w:rPr>
        <w:t>等</w:t>
      </w:r>
      <w:r>
        <w:rPr>
          <w:rFonts w:ascii="Times New Roman" w:eastAsia="仿宋_GB2312"/>
          <w:kern w:val="2"/>
          <w:sz w:val="32"/>
          <w:szCs w:val="32"/>
        </w:rPr>
        <w:t>监测参数</w:t>
      </w:r>
      <w:r>
        <w:rPr>
          <w:rFonts w:hint="default" w:ascii="Times New Roman" w:eastAsia="仿宋_GB2312"/>
          <w:kern w:val="2"/>
          <w:sz w:val="32"/>
          <w:szCs w:val="32"/>
        </w:rPr>
        <w:t>；</w:t>
      </w:r>
      <w:r>
        <w:rPr>
          <w:rFonts w:ascii="Times New Roman" w:eastAsia="仿宋_GB2312"/>
          <w:kern w:val="2"/>
          <w:sz w:val="32"/>
          <w:szCs w:val="32"/>
        </w:rPr>
        <w:t>明确数据来源、监测方式、实时采集要求；同步规定数据存档、平台对接等管理要求。</w:t>
      </w:r>
    </w:p>
    <w:p w14:paraId="4B804644">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第8章</w:t>
      </w:r>
      <w:r>
        <w:rPr>
          <w:rFonts w:hint="default" w:ascii="Times New Roman" w:eastAsia="仿宋_GB2312"/>
          <w:kern w:val="2"/>
          <w:sz w:val="32"/>
          <w:szCs w:val="32"/>
        </w:rPr>
        <w:t>“</w:t>
      </w:r>
      <w:r>
        <w:rPr>
          <w:rFonts w:ascii="Times New Roman" w:eastAsia="仿宋_GB2312"/>
          <w:kern w:val="2"/>
          <w:sz w:val="32"/>
          <w:szCs w:val="32"/>
        </w:rPr>
        <w:t>项目实施与收益管理方案</w:t>
      </w:r>
      <w:r>
        <w:rPr>
          <w:rFonts w:hint="default" w:ascii="Times New Roman" w:eastAsia="仿宋_GB2312"/>
          <w:kern w:val="2"/>
          <w:sz w:val="32"/>
          <w:szCs w:val="32"/>
        </w:rPr>
        <w:t>”</w:t>
      </w:r>
      <w:r>
        <w:rPr>
          <w:rFonts w:ascii="Times New Roman" w:eastAsia="仿宋_GB2312"/>
          <w:kern w:val="2"/>
          <w:sz w:val="32"/>
          <w:szCs w:val="32"/>
        </w:rPr>
        <w:t>，</w:t>
      </w:r>
      <w:r>
        <w:rPr>
          <w:rFonts w:hint="default" w:ascii="Times New Roman" w:eastAsia="仿宋_GB2312"/>
          <w:kern w:val="2"/>
          <w:sz w:val="32"/>
          <w:szCs w:val="32"/>
        </w:rPr>
        <w:t>明确</w:t>
      </w:r>
      <w:r>
        <w:rPr>
          <w:rFonts w:ascii="Times New Roman" w:eastAsia="仿宋_GB2312"/>
          <w:kern w:val="2"/>
          <w:sz w:val="32"/>
          <w:szCs w:val="32"/>
        </w:rPr>
        <w:t>项目开发方运营管理制度、团队配置要求；明确碳普惠收益分配规则，扣除管理费后收益全部返还参与用户。</w:t>
      </w:r>
    </w:p>
    <w:p w14:paraId="0D88FE60">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第9章</w:t>
      </w:r>
      <w:r>
        <w:rPr>
          <w:rFonts w:hint="default" w:ascii="Times New Roman" w:eastAsia="仿宋_GB2312"/>
          <w:kern w:val="2"/>
          <w:sz w:val="32"/>
          <w:szCs w:val="32"/>
        </w:rPr>
        <w:t>“</w:t>
      </w:r>
      <w:r>
        <w:rPr>
          <w:rFonts w:ascii="Times New Roman" w:eastAsia="仿宋_GB2312"/>
          <w:kern w:val="2"/>
          <w:sz w:val="32"/>
          <w:szCs w:val="32"/>
        </w:rPr>
        <w:t>项目核查要点</w:t>
      </w:r>
      <w:r>
        <w:rPr>
          <w:rFonts w:hint="default" w:ascii="Times New Roman" w:eastAsia="仿宋_GB2312"/>
          <w:kern w:val="2"/>
          <w:sz w:val="32"/>
          <w:szCs w:val="32"/>
        </w:rPr>
        <w:t>”</w:t>
      </w:r>
      <w:r>
        <w:rPr>
          <w:rFonts w:ascii="Times New Roman" w:eastAsia="仿宋_GB2312"/>
          <w:kern w:val="2"/>
          <w:sz w:val="32"/>
          <w:szCs w:val="32"/>
        </w:rPr>
        <w:t>，</w:t>
      </w:r>
      <w:r>
        <w:rPr>
          <w:rFonts w:hint="default" w:ascii="Times New Roman" w:eastAsia="仿宋_GB2312"/>
          <w:kern w:val="2"/>
          <w:sz w:val="32"/>
          <w:szCs w:val="32"/>
        </w:rPr>
        <w:t>说明</w:t>
      </w:r>
      <w:r>
        <w:rPr>
          <w:rFonts w:ascii="Times New Roman" w:eastAsia="仿宋_GB2312"/>
          <w:kern w:val="2"/>
          <w:sz w:val="32"/>
          <w:szCs w:val="32"/>
        </w:rPr>
        <w:t>适用条件、项目边界、计入期、减排核算、监测管理、关键参数</w:t>
      </w:r>
      <w:r>
        <w:rPr>
          <w:rFonts w:hint="default" w:ascii="Times New Roman" w:eastAsia="仿宋_GB2312"/>
          <w:kern w:val="2"/>
          <w:sz w:val="32"/>
          <w:szCs w:val="32"/>
        </w:rPr>
        <w:t>等</w:t>
      </w:r>
      <w:r>
        <w:rPr>
          <w:rFonts w:ascii="Times New Roman" w:eastAsia="仿宋_GB2312"/>
          <w:kern w:val="2"/>
          <w:sz w:val="32"/>
          <w:szCs w:val="32"/>
        </w:rPr>
        <w:t>核查</w:t>
      </w:r>
      <w:r>
        <w:rPr>
          <w:rFonts w:hint="default" w:ascii="Times New Roman" w:eastAsia="仿宋_GB2312"/>
          <w:kern w:val="2"/>
          <w:sz w:val="32"/>
          <w:szCs w:val="32"/>
        </w:rPr>
        <w:t>要点及方法。</w:t>
      </w:r>
    </w:p>
    <w:p w14:paraId="0C72024B">
      <w:pPr>
        <w:widowControl w:val="0"/>
        <w:spacing w:line="560" w:lineRule="exact"/>
        <w:ind w:firstLine="640"/>
        <w:jc w:val="both"/>
        <w:rPr>
          <w:rFonts w:ascii="Times New Roman" w:eastAsia="仿宋_GB2312"/>
          <w:kern w:val="2"/>
          <w:sz w:val="32"/>
          <w:szCs w:val="32"/>
        </w:rPr>
      </w:pPr>
      <w:r>
        <w:rPr>
          <w:rFonts w:ascii="Times New Roman" w:eastAsia="仿宋_GB2312"/>
          <w:kern w:val="2"/>
          <w:sz w:val="32"/>
          <w:szCs w:val="32"/>
        </w:rPr>
        <w:t>第10章</w:t>
      </w:r>
      <w:r>
        <w:rPr>
          <w:rFonts w:hint="default" w:ascii="Times New Roman" w:eastAsia="仿宋_GB2312"/>
          <w:kern w:val="2"/>
          <w:sz w:val="32"/>
          <w:szCs w:val="32"/>
        </w:rPr>
        <w:t>“</w:t>
      </w:r>
      <w:r>
        <w:rPr>
          <w:rFonts w:ascii="Times New Roman" w:eastAsia="仿宋_GB2312"/>
          <w:kern w:val="2"/>
          <w:sz w:val="32"/>
          <w:szCs w:val="32"/>
        </w:rPr>
        <w:t>方法学编制单位</w:t>
      </w:r>
      <w:r>
        <w:rPr>
          <w:rFonts w:hint="default" w:ascii="Times New Roman" w:eastAsia="仿宋_GB2312"/>
          <w:kern w:val="2"/>
          <w:sz w:val="32"/>
          <w:szCs w:val="32"/>
        </w:rPr>
        <w:t>”</w:t>
      </w:r>
      <w:r>
        <w:rPr>
          <w:rFonts w:ascii="Times New Roman" w:eastAsia="仿宋_GB2312"/>
          <w:kern w:val="2"/>
          <w:sz w:val="32"/>
          <w:szCs w:val="32"/>
        </w:rPr>
        <w:t>，</w:t>
      </w:r>
      <w:r>
        <w:rPr>
          <w:rFonts w:hint="default" w:ascii="Times New Roman" w:eastAsia="仿宋_GB2312"/>
          <w:kern w:val="2"/>
          <w:sz w:val="32"/>
          <w:szCs w:val="32"/>
        </w:rPr>
        <w:t>列举了对本方法学编制作出积极贡献的单位名称。</w:t>
      </w:r>
    </w:p>
    <w:p w14:paraId="60DD8816">
      <w:pPr>
        <w:keepNext/>
        <w:keepLines/>
        <w:widowControl w:val="0"/>
        <w:spacing w:line="560" w:lineRule="exact"/>
        <w:ind w:firstLine="640"/>
        <w:jc w:val="both"/>
        <w:outlineLvl w:val="0"/>
        <w:rPr>
          <w:rFonts w:hint="default" w:ascii="Times New Roman" w:hAnsi="Times New Roman" w:eastAsia="黑体"/>
          <w:bCs/>
          <w:kern w:val="44"/>
          <w:sz w:val="32"/>
          <w:szCs w:val="32"/>
        </w:rPr>
      </w:pPr>
      <w:r>
        <w:rPr>
          <w:rFonts w:ascii="Times New Roman" w:hAnsi="Times New Roman" w:eastAsia="黑体"/>
          <w:bCs/>
          <w:kern w:val="44"/>
          <w:sz w:val="32"/>
          <w:szCs w:val="32"/>
        </w:rPr>
        <w:t>四、需要重点说明的问题</w:t>
      </w:r>
    </w:p>
    <w:p w14:paraId="33BD1CFF">
      <w:pPr>
        <w:keepNext/>
        <w:keepLines/>
        <w:widowControl w:val="0"/>
        <w:adjustRightInd w:val="0"/>
        <w:snapToGrid w:val="0"/>
        <w:spacing w:line="560" w:lineRule="exact"/>
        <w:ind w:left="426" w:right="240" w:firstLine="0" w:firstLineChars="0"/>
        <w:outlineLvl w:val="1"/>
        <w:rPr>
          <w:rFonts w:ascii="Times New Roman" w:hAnsi="Times New Roman" w:eastAsia="楷体_GB2312"/>
          <w:bCs/>
          <w:kern w:val="2"/>
          <w:sz w:val="32"/>
          <w:szCs w:val="32"/>
        </w:rPr>
      </w:pPr>
      <w:r>
        <w:rPr>
          <w:rFonts w:ascii="Times New Roman" w:hAnsi="Times New Roman" w:eastAsia="楷体_GB2312"/>
          <w:bCs/>
          <w:kern w:val="2"/>
          <w:sz w:val="32"/>
          <w:szCs w:val="32"/>
        </w:rPr>
        <w:t>（一）</w:t>
      </w:r>
      <w:r>
        <w:rPr>
          <w:rFonts w:hint="default" w:ascii="Times New Roman" w:hAnsi="Times New Roman" w:eastAsia="楷体_GB2312"/>
          <w:bCs/>
          <w:kern w:val="2"/>
          <w:sz w:val="32"/>
          <w:szCs w:val="32"/>
        </w:rPr>
        <w:t>方法学级别的说明</w:t>
      </w:r>
    </w:p>
    <w:p w14:paraId="160E37E2">
      <w:pPr>
        <w:widowControl/>
        <w:numPr>
          <w:ilvl w:val="-1"/>
          <w:numId w:val="0"/>
        </w:numPr>
        <w:spacing w:line="560" w:lineRule="exact"/>
        <w:ind w:firstLine="640" w:firstLineChars="200"/>
        <w:jc w:val="left"/>
        <w:rPr>
          <w:rFonts w:hint="default" w:ascii="Times New Roman" w:hAnsi="Times New Roman" w:eastAsia="楷体_GB2312" w:cs="Times New Roman"/>
          <w:color w:val="000000"/>
          <w:kern w:val="0"/>
          <w:sz w:val="32"/>
          <w:szCs w:val="32"/>
          <w:lang w:val="en-US" w:bidi="ar"/>
        </w:rPr>
      </w:pPr>
      <w:bookmarkStart w:id="1" w:name="OLE_LINK2"/>
      <w:r>
        <w:rPr>
          <w:rFonts w:hint="default" w:ascii="Times New Roman" w:eastAsia="仿宋_GB2312"/>
          <w:kern w:val="2"/>
          <w:sz w:val="32"/>
          <w:szCs w:val="32"/>
        </w:rPr>
        <w:t>本方法学</w:t>
      </w:r>
      <w:r>
        <w:rPr>
          <w:rFonts w:ascii="Times New Roman" w:hAnsi="Times New Roman" w:eastAsia="仿宋_GB2312"/>
          <w:bCs w:val="0"/>
          <w:kern w:val="2"/>
          <w:sz w:val="32"/>
          <w:szCs w:val="32"/>
        </w:rPr>
        <w:t>减排逻辑清晰，核算科学、准确，相关数据具备监测、报告和核查条件</w:t>
      </w:r>
      <w:r>
        <w:rPr>
          <w:rFonts w:hint="default" w:ascii="Times New Roman" w:eastAsia="仿宋_GB2312"/>
          <w:kern w:val="2"/>
          <w:sz w:val="32"/>
          <w:szCs w:val="32"/>
        </w:rPr>
        <w:t>，故本方法学为</w:t>
      </w:r>
      <w:r>
        <w:rPr>
          <w:rFonts w:ascii="Times New Roman" w:eastAsia="仿宋_GB2312"/>
          <w:kern w:val="2"/>
          <w:sz w:val="32"/>
          <w:szCs w:val="32"/>
        </w:rPr>
        <w:t>一级方法学</w:t>
      </w:r>
      <w:r>
        <w:rPr>
          <w:rFonts w:hint="default" w:ascii="Times New Roman" w:eastAsia="仿宋_GB2312"/>
          <w:kern w:val="2"/>
          <w:sz w:val="32"/>
          <w:szCs w:val="32"/>
        </w:rPr>
        <w:t>。</w:t>
      </w:r>
      <w:r>
        <w:rPr>
          <w:rFonts w:hint="eastAsia" w:ascii="Times New Roman" w:hAnsi="Times New Roman" w:eastAsia="仿宋_GB2312" w:cs="Times New Roman"/>
          <w:color w:val="000000"/>
          <w:kern w:val="0"/>
          <w:sz w:val="32"/>
          <w:szCs w:val="32"/>
          <w:lang w:val="en-US" w:eastAsia="zh-CN" w:bidi="ar"/>
        </w:rPr>
        <w:t>依据一级方法学开发并经审核予以登记的项目为一类项目，产生的减排量登记后，可通过北京市碳排放权交易系统进行交易。</w:t>
      </w:r>
    </w:p>
    <w:bookmarkEnd w:id="1"/>
    <w:p w14:paraId="1F1FE09A">
      <w:pPr>
        <w:keepNext/>
        <w:keepLines/>
        <w:widowControl w:val="0"/>
        <w:adjustRightInd w:val="0"/>
        <w:snapToGrid w:val="0"/>
        <w:spacing w:line="560" w:lineRule="exact"/>
        <w:ind w:left="426" w:right="240" w:firstLine="0" w:firstLineChars="0"/>
        <w:outlineLvl w:val="1"/>
        <w:rPr>
          <w:rFonts w:hint="default" w:ascii="Times New Roman" w:hAnsi="Times New Roman" w:eastAsia="楷体_GB2312"/>
          <w:bCs/>
          <w:kern w:val="2"/>
          <w:sz w:val="32"/>
          <w:szCs w:val="32"/>
        </w:rPr>
      </w:pPr>
      <w:bookmarkStart w:id="2" w:name="OLE_LINK1"/>
      <w:r>
        <w:rPr>
          <w:rFonts w:ascii="Times New Roman" w:hAnsi="Times New Roman" w:eastAsia="楷体_GB2312"/>
          <w:bCs/>
          <w:kern w:val="2"/>
          <w:sz w:val="32"/>
          <w:szCs w:val="32"/>
        </w:rPr>
        <w:t>（</w:t>
      </w:r>
      <w:r>
        <w:rPr>
          <w:rFonts w:hint="eastAsia" w:eastAsia="楷体_GB2312"/>
          <w:bCs/>
          <w:kern w:val="2"/>
          <w:sz w:val="32"/>
          <w:szCs w:val="32"/>
          <w:lang w:eastAsia="zh-CN"/>
        </w:rPr>
        <w:t>二</w:t>
      </w:r>
      <w:r>
        <w:rPr>
          <w:rFonts w:ascii="Times New Roman" w:hAnsi="Times New Roman" w:eastAsia="楷体_GB2312"/>
          <w:bCs/>
          <w:kern w:val="2"/>
          <w:sz w:val="32"/>
          <w:szCs w:val="32"/>
        </w:rPr>
        <w:t>）与</w:t>
      </w:r>
      <w:r>
        <w:rPr>
          <w:rFonts w:hint="default" w:ascii="Times New Roman" w:hAnsi="Times New Roman" w:eastAsia="楷体_GB2312"/>
          <w:bCs/>
          <w:kern w:val="2"/>
          <w:sz w:val="32"/>
          <w:szCs w:val="32"/>
        </w:rPr>
        <w:t>其他自愿减排机制类似</w:t>
      </w:r>
      <w:r>
        <w:rPr>
          <w:rFonts w:ascii="Times New Roman" w:hAnsi="Times New Roman" w:eastAsia="楷体_GB2312"/>
          <w:bCs/>
          <w:kern w:val="2"/>
          <w:sz w:val="32"/>
          <w:szCs w:val="32"/>
        </w:rPr>
        <w:t>方法学的</w:t>
      </w:r>
      <w:r>
        <w:rPr>
          <w:rFonts w:hint="default" w:ascii="Times New Roman" w:hAnsi="Times New Roman" w:eastAsia="楷体_GB2312"/>
          <w:bCs/>
          <w:kern w:val="2"/>
          <w:sz w:val="32"/>
          <w:szCs w:val="32"/>
        </w:rPr>
        <w:t>对比</w:t>
      </w:r>
      <w:bookmarkEnd w:id="2"/>
    </w:p>
    <w:p w14:paraId="0A4D3BD0">
      <w:pPr>
        <w:widowControl w:val="0"/>
        <w:spacing w:line="560" w:lineRule="exact"/>
        <w:ind w:firstLine="640"/>
        <w:jc w:val="both"/>
        <w:rPr>
          <w:rFonts w:ascii="Times New Roman" w:eastAsia="仿宋_GB2312"/>
          <w:kern w:val="2"/>
          <w:sz w:val="32"/>
          <w:szCs w:val="32"/>
        </w:rPr>
      </w:pPr>
      <w:bookmarkStart w:id="3" w:name="OLE_LINK9"/>
      <w:r>
        <w:rPr>
          <w:rFonts w:hint="default" w:ascii="Times New Roman" w:eastAsia="仿宋_GB2312"/>
          <w:kern w:val="2"/>
          <w:sz w:val="32"/>
          <w:szCs w:val="32"/>
        </w:rPr>
        <w:t>相较于</w:t>
      </w:r>
      <w:r>
        <w:rPr>
          <w:rFonts w:ascii="Times New Roman" w:eastAsia="仿宋_GB2312"/>
          <w:kern w:val="2"/>
          <w:sz w:val="32"/>
          <w:szCs w:val="32"/>
        </w:rPr>
        <w:t>现有</w:t>
      </w:r>
      <w:r>
        <w:rPr>
          <w:rFonts w:hint="default" w:ascii="Times New Roman" w:eastAsia="仿宋_GB2312"/>
          <w:kern w:val="2"/>
          <w:sz w:val="32"/>
          <w:szCs w:val="32"/>
        </w:rPr>
        <w:t>清洁发展机制（</w:t>
      </w:r>
      <w:r>
        <w:rPr>
          <w:rFonts w:ascii="Times New Roman" w:eastAsia="仿宋_GB2312"/>
          <w:kern w:val="2"/>
          <w:sz w:val="32"/>
          <w:szCs w:val="32"/>
        </w:rPr>
        <w:t>CDM</w:t>
      </w:r>
      <w:r>
        <w:rPr>
          <w:rFonts w:hint="default" w:ascii="Times New Roman" w:eastAsia="仿宋_GB2312"/>
          <w:kern w:val="2"/>
          <w:sz w:val="32"/>
          <w:szCs w:val="32"/>
        </w:rPr>
        <w:t>）</w:t>
      </w:r>
      <w:r>
        <w:rPr>
          <w:rFonts w:ascii="Times New Roman" w:eastAsia="仿宋_GB2312"/>
          <w:kern w:val="2"/>
          <w:sz w:val="32"/>
          <w:szCs w:val="32"/>
        </w:rPr>
        <w:t>、</w:t>
      </w:r>
      <w:r>
        <w:rPr>
          <w:rFonts w:hint="default" w:ascii="Times New Roman" w:eastAsia="仿宋_GB2312"/>
          <w:kern w:val="2"/>
          <w:sz w:val="32"/>
          <w:szCs w:val="32"/>
        </w:rPr>
        <w:t>国家核证自愿减排量（</w:t>
      </w:r>
      <w:r>
        <w:rPr>
          <w:rFonts w:ascii="Times New Roman" w:eastAsia="仿宋_GB2312"/>
          <w:kern w:val="2"/>
          <w:sz w:val="32"/>
          <w:szCs w:val="32"/>
        </w:rPr>
        <w:t>CCER</w:t>
      </w:r>
      <w:r>
        <w:rPr>
          <w:rFonts w:hint="default" w:ascii="Times New Roman" w:eastAsia="仿宋_GB2312"/>
          <w:kern w:val="2"/>
          <w:sz w:val="32"/>
          <w:szCs w:val="32"/>
        </w:rPr>
        <w:t>）</w:t>
      </w:r>
      <w:r>
        <w:rPr>
          <w:rFonts w:ascii="Times New Roman" w:eastAsia="仿宋_GB2312"/>
          <w:kern w:val="2"/>
          <w:sz w:val="32"/>
          <w:szCs w:val="32"/>
        </w:rPr>
        <w:t>相关方法学</w:t>
      </w:r>
      <w:r>
        <w:rPr>
          <w:rFonts w:hint="default" w:ascii="Times New Roman" w:eastAsia="仿宋_GB2312"/>
          <w:kern w:val="2"/>
          <w:sz w:val="32"/>
          <w:szCs w:val="32"/>
        </w:rPr>
        <w:t>及</w:t>
      </w:r>
      <w:r>
        <w:rPr>
          <w:rFonts w:ascii="Times New Roman" w:eastAsia="仿宋_GB2312"/>
          <w:kern w:val="2"/>
          <w:sz w:val="32"/>
          <w:szCs w:val="32"/>
        </w:rPr>
        <w:t>标准</w:t>
      </w:r>
      <w:r>
        <w:rPr>
          <w:rFonts w:hint="default" w:ascii="Times New Roman" w:eastAsia="仿宋_GB2312"/>
          <w:kern w:val="2"/>
          <w:sz w:val="32"/>
          <w:szCs w:val="32"/>
        </w:rPr>
        <w:t>，</w:t>
      </w:r>
      <w:r>
        <w:rPr>
          <w:rFonts w:ascii="Times New Roman" w:eastAsia="仿宋_GB2312"/>
          <w:kern w:val="2"/>
          <w:sz w:val="32"/>
          <w:szCs w:val="32"/>
        </w:rPr>
        <w:t>本方法学</w:t>
      </w:r>
      <w:r>
        <w:rPr>
          <w:rFonts w:hint="default" w:ascii="Times New Roman" w:eastAsia="仿宋_GB2312"/>
          <w:kern w:val="2"/>
          <w:sz w:val="32"/>
          <w:szCs w:val="32"/>
        </w:rPr>
        <w:t>具备差异化特征：</w:t>
      </w:r>
      <w:bookmarkEnd w:id="3"/>
      <w:r>
        <w:rPr>
          <w:rFonts w:hint="default" w:ascii="Times New Roman" w:eastAsia="仿宋_GB2312"/>
          <w:kern w:val="2"/>
          <w:sz w:val="32"/>
          <w:szCs w:val="32"/>
        </w:rPr>
        <w:t>一是适用场景独特，聚焦公众主动选择电动网约车的终端消费减排行为，区别于车队升级改造、充电基础设施建设等供给侧减排项目；二是减排权益分配机制创新，本方法学核算产生的减排量全部归属出行个人，精准激励终端消费主体，契合北京市碳普惠公众参与的制度定位，有效依托消费端绿色选择，倒逼交通领域新能源车替代升级。</w:t>
      </w:r>
    </w:p>
    <w:p w14:paraId="348DC041">
      <w:pPr>
        <w:keepNext/>
        <w:keepLines/>
        <w:widowControl w:val="0"/>
        <w:adjustRightInd w:val="0"/>
        <w:snapToGrid w:val="0"/>
        <w:spacing w:line="560" w:lineRule="exact"/>
        <w:ind w:left="426" w:right="240" w:firstLine="0" w:firstLineChars="0"/>
        <w:outlineLvl w:val="1"/>
        <w:rPr>
          <w:rFonts w:hint="default" w:ascii="Times New Roman" w:hAnsi="Times New Roman" w:eastAsia="楷体_GB2312"/>
          <w:bCs/>
          <w:kern w:val="2"/>
          <w:sz w:val="32"/>
          <w:szCs w:val="32"/>
        </w:rPr>
      </w:pPr>
      <w:r>
        <w:rPr>
          <w:rFonts w:ascii="Times New Roman" w:hAnsi="Times New Roman" w:eastAsia="楷体_GB2312"/>
          <w:bCs/>
          <w:kern w:val="2"/>
          <w:sz w:val="32"/>
          <w:szCs w:val="32"/>
        </w:rPr>
        <w:t>（</w:t>
      </w:r>
      <w:r>
        <w:rPr>
          <w:rFonts w:hint="eastAsia" w:eastAsia="楷体_GB2312"/>
          <w:bCs/>
          <w:kern w:val="2"/>
          <w:sz w:val="32"/>
          <w:szCs w:val="32"/>
          <w:lang w:eastAsia="zh-CN"/>
        </w:rPr>
        <w:t>三</w:t>
      </w:r>
      <w:r>
        <w:rPr>
          <w:rFonts w:ascii="Times New Roman" w:hAnsi="Times New Roman" w:eastAsia="楷体_GB2312"/>
          <w:bCs/>
          <w:kern w:val="2"/>
          <w:sz w:val="32"/>
          <w:szCs w:val="32"/>
        </w:rPr>
        <w:t>）</w:t>
      </w:r>
      <w:r>
        <w:rPr>
          <w:rFonts w:hint="default" w:ascii="Times New Roman" w:hAnsi="Times New Roman" w:eastAsia="楷体_GB2312"/>
          <w:bCs/>
          <w:kern w:val="2"/>
          <w:sz w:val="32"/>
          <w:szCs w:val="32"/>
        </w:rPr>
        <w:t>减排量核算</w:t>
      </w:r>
      <w:r>
        <w:rPr>
          <w:rFonts w:ascii="Times New Roman" w:hAnsi="Times New Roman" w:eastAsia="楷体_GB2312"/>
          <w:bCs/>
          <w:kern w:val="2"/>
          <w:sz w:val="32"/>
          <w:szCs w:val="32"/>
        </w:rPr>
        <w:t>的保守性</w:t>
      </w:r>
    </w:p>
    <w:p w14:paraId="54EB5247">
      <w:pPr>
        <w:widowControl w:val="0"/>
        <w:spacing w:line="560" w:lineRule="exact"/>
        <w:ind w:firstLine="640"/>
        <w:jc w:val="both"/>
        <w:rPr>
          <w:rFonts w:ascii="Times New Roman" w:eastAsia="仿宋_GB2312"/>
          <w:kern w:val="2"/>
          <w:sz w:val="32"/>
          <w:szCs w:val="32"/>
        </w:rPr>
      </w:pPr>
      <w:r>
        <w:rPr>
          <w:rFonts w:hint="default" w:ascii="Times New Roman" w:eastAsia="仿宋_GB2312"/>
          <w:kern w:val="2"/>
          <w:sz w:val="32"/>
          <w:szCs w:val="32"/>
        </w:rPr>
        <w:t>为保障本方法学科学严谨、合理审慎、普适易用，便于项目实施主体及参与用户规范便捷应用，本研究基准线碳排放核算严格参照主管部门发布的行业标准，采用基于不同排量、能源类型网约车保有结构、车辆规模及行驶里程加权核算形成的出租客运行业碳排放基准值。本方法学未选取单一能源类型、单一排量车辆作为基准依据，有效贴合行业实际平均排放水平，确保减排量核算结果满足保守性原则。</w:t>
      </w:r>
    </w:p>
    <w:p w14:paraId="1E86A9D7">
      <w:pPr>
        <w:keepNext/>
        <w:keepLines/>
        <w:widowControl w:val="0"/>
        <w:adjustRightInd w:val="0"/>
        <w:snapToGrid w:val="0"/>
        <w:spacing w:line="560" w:lineRule="exact"/>
        <w:ind w:left="426" w:right="240" w:firstLine="0" w:firstLineChars="0"/>
        <w:outlineLvl w:val="1"/>
        <w:rPr>
          <w:rFonts w:hint="default" w:ascii="Times New Roman" w:hAnsi="Times New Roman" w:eastAsia="楷体_GB2312"/>
          <w:bCs/>
          <w:kern w:val="2"/>
          <w:sz w:val="32"/>
          <w:szCs w:val="32"/>
        </w:rPr>
      </w:pPr>
      <w:r>
        <w:rPr>
          <w:rFonts w:hint="default" w:ascii="Times New Roman" w:hAnsi="Times New Roman" w:eastAsia="楷体_GB2312"/>
          <w:bCs/>
          <w:kern w:val="2"/>
          <w:sz w:val="32"/>
          <w:szCs w:val="32"/>
        </w:rPr>
        <w:t>（</w:t>
      </w:r>
      <w:r>
        <w:rPr>
          <w:rFonts w:hint="eastAsia" w:eastAsia="楷体_GB2312"/>
          <w:bCs/>
          <w:kern w:val="2"/>
          <w:sz w:val="32"/>
          <w:szCs w:val="32"/>
          <w:lang w:eastAsia="zh-CN"/>
        </w:rPr>
        <w:t>四</w:t>
      </w:r>
      <w:r>
        <w:rPr>
          <w:rFonts w:hint="default" w:ascii="Times New Roman" w:hAnsi="Times New Roman" w:eastAsia="楷体_GB2312"/>
          <w:bCs/>
          <w:kern w:val="2"/>
          <w:sz w:val="32"/>
          <w:szCs w:val="32"/>
        </w:rPr>
        <w:t>）</w:t>
      </w:r>
      <w:r>
        <w:rPr>
          <w:rFonts w:ascii="Times New Roman" w:hAnsi="Times New Roman" w:eastAsia="楷体_GB2312"/>
          <w:bCs/>
          <w:kern w:val="2"/>
          <w:sz w:val="32"/>
          <w:szCs w:val="32"/>
        </w:rPr>
        <w:t>关于项目计入期的说明</w:t>
      </w:r>
    </w:p>
    <w:p w14:paraId="7ADFABFE">
      <w:pPr>
        <w:widowControl w:val="0"/>
        <w:spacing w:line="560" w:lineRule="exact"/>
        <w:ind w:firstLine="640"/>
        <w:jc w:val="both"/>
        <w:rPr>
          <w:rFonts w:ascii="Times New Roman" w:eastAsia="仿宋_GB2312"/>
          <w:kern w:val="2"/>
          <w:sz w:val="32"/>
          <w:szCs w:val="32"/>
        </w:rPr>
      </w:pPr>
      <w:r>
        <w:rPr>
          <w:rFonts w:hint="default" w:ascii="Times New Roman" w:eastAsia="仿宋_GB2312"/>
          <w:kern w:val="2"/>
          <w:sz w:val="32"/>
          <w:szCs w:val="32"/>
        </w:rPr>
        <w:t>结合网约车新能源车渗透率逐步提升、行业减排潜力逐步收窄的发展趋势，本方法学审慎设置了不超过两年的计入期，使方法学适用周期更符合行业发展实际，确保激励主动选择电动网约车行为具备合理性。</w:t>
      </w:r>
    </w:p>
    <w:p w14:paraId="07FFD372">
      <w:pPr>
        <w:keepNext/>
        <w:keepLines/>
        <w:widowControl w:val="0"/>
        <w:adjustRightInd w:val="0"/>
        <w:snapToGrid w:val="0"/>
        <w:spacing w:line="560" w:lineRule="exact"/>
        <w:ind w:left="426" w:right="240" w:firstLine="0" w:firstLineChars="0"/>
        <w:outlineLvl w:val="1"/>
        <w:rPr>
          <w:rFonts w:hint="default" w:ascii="Times New Roman" w:hAnsi="Times New Roman" w:eastAsia="楷体_GB2312"/>
          <w:bCs/>
          <w:kern w:val="2"/>
          <w:sz w:val="32"/>
          <w:szCs w:val="32"/>
        </w:rPr>
      </w:pPr>
      <w:r>
        <w:rPr>
          <w:rFonts w:hint="default" w:ascii="Times New Roman" w:hAnsi="Times New Roman" w:eastAsia="楷体_GB2312"/>
          <w:bCs/>
          <w:kern w:val="2"/>
          <w:sz w:val="32"/>
          <w:szCs w:val="32"/>
        </w:rPr>
        <w:t>（</w:t>
      </w:r>
      <w:r>
        <w:rPr>
          <w:rFonts w:hint="eastAsia" w:eastAsia="楷体_GB2312"/>
          <w:bCs/>
          <w:kern w:val="2"/>
          <w:sz w:val="32"/>
          <w:szCs w:val="32"/>
          <w:lang w:eastAsia="zh-CN"/>
        </w:rPr>
        <w:t>五</w:t>
      </w:r>
      <w:r>
        <w:rPr>
          <w:rFonts w:hint="default" w:ascii="Times New Roman" w:hAnsi="Times New Roman" w:eastAsia="楷体_GB2312"/>
          <w:bCs/>
          <w:kern w:val="2"/>
          <w:sz w:val="32"/>
          <w:szCs w:val="32"/>
        </w:rPr>
        <w:t>）数据质量管理</w:t>
      </w:r>
    </w:p>
    <w:p w14:paraId="1A2CBC1B">
      <w:pPr>
        <w:widowControl w:val="0"/>
        <w:spacing w:line="560" w:lineRule="exact"/>
        <w:ind w:firstLine="640"/>
        <w:jc w:val="both"/>
        <w:rPr>
          <w:rFonts w:hint="default" w:ascii="Times New Roman" w:eastAsia="仿宋_GB2312"/>
          <w:kern w:val="2"/>
          <w:sz w:val="32"/>
          <w:szCs w:val="32"/>
        </w:rPr>
      </w:pPr>
      <w:r>
        <w:rPr>
          <w:rFonts w:hint="default" w:ascii="Times New Roman" w:eastAsia="仿宋_GB2312"/>
          <w:kern w:val="2"/>
          <w:sz w:val="32"/>
          <w:szCs w:val="32"/>
        </w:rPr>
        <w:t>项目开发方须健全完善数据管理工作机制，相关数据及信息应对接至本市碳普惠管理服务平台。</w:t>
      </w:r>
      <w:bookmarkStart w:id="4" w:name="_GoBack"/>
      <w:bookmarkEnd w:id="4"/>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altName w:val="仿宋_GB2312"/>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6A2118BC">
        <w:pPr>
          <w:pStyle w:val="11"/>
          <w:ind w:firstLine="360"/>
          <w:jc w:val="center"/>
        </w:pPr>
        <w:r>
          <w:fldChar w:fldCharType="begin"/>
        </w:r>
        <w:r>
          <w:instrText xml:space="preserve">PAGE   \* MERGEFORMAT</w:instrText>
        </w:r>
        <w:r>
          <w:fldChar w:fldCharType="separate"/>
        </w:r>
        <w:r>
          <w:rPr>
            <w:lang w:val="zh-CN"/>
          </w:rPr>
          <w:t>5</w:t>
        </w:r>
        <w:r>
          <w:fldChar w:fldCharType="end"/>
        </w:r>
      </w:p>
    </w:sdtContent>
  </w:sdt>
  <w:p w14:paraId="791CD5AA">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92910">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3A378">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6F16C">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5AD0B">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CA83D">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doNotDisplayPageBoundaries w:val="1"/>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4B8"/>
    <w:rsid w:val="000002EE"/>
    <w:rsid w:val="00035D5A"/>
    <w:rsid w:val="00043553"/>
    <w:rsid w:val="00062A6D"/>
    <w:rsid w:val="000A0DBC"/>
    <w:rsid w:val="000C7CED"/>
    <w:rsid w:val="000F3B1B"/>
    <w:rsid w:val="00101D19"/>
    <w:rsid w:val="00117C58"/>
    <w:rsid w:val="00171D6F"/>
    <w:rsid w:val="00181A22"/>
    <w:rsid w:val="001A0E31"/>
    <w:rsid w:val="001E3109"/>
    <w:rsid w:val="00254E27"/>
    <w:rsid w:val="002A6510"/>
    <w:rsid w:val="002D1C7F"/>
    <w:rsid w:val="002D4BA1"/>
    <w:rsid w:val="002F157E"/>
    <w:rsid w:val="002F7BCE"/>
    <w:rsid w:val="00336BA6"/>
    <w:rsid w:val="003651DD"/>
    <w:rsid w:val="003C3CEF"/>
    <w:rsid w:val="003E4575"/>
    <w:rsid w:val="003F004A"/>
    <w:rsid w:val="00425321"/>
    <w:rsid w:val="00487962"/>
    <w:rsid w:val="00496B6B"/>
    <w:rsid w:val="004D1A2A"/>
    <w:rsid w:val="005E4A54"/>
    <w:rsid w:val="00601F98"/>
    <w:rsid w:val="0064123A"/>
    <w:rsid w:val="006770B8"/>
    <w:rsid w:val="006A2ED6"/>
    <w:rsid w:val="006A6F6E"/>
    <w:rsid w:val="006D6DCF"/>
    <w:rsid w:val="00716D02"/>
    <w:rsid w:val="00721E47"/>
    <w:rsid w:val="007568E8"/>
    <w:rsid w:val="00772F78"/>
    <w:rsid w:val="007C1348"/>
    <w:rsid w:val="00804475"/>
    <w:rsid w:val="00817F69"/>
    <w:rsid w:val="00875319"/>
    <w:rsid w:val="00896D94"/>
    <w:rsid w:val="009069CE"/>
    <w:rsid w:val="009111D8"/>
    <w:rsid w:val="00925687"/>
    <w:rsid w:val="00945427"/>
    <w:rsid w:val="00980D85"/>
    <w:rsid w:val="009A2444"/>
    <w:rsid w:val="00A27E2A"/>
    <w:rsid w:val="00A96AA6"/>
    <w:rsid w:val="00A971B0"/>
    <w:rsid w:val="00AE78A9"/>
    <w:rsid w:val="00B2707A"/>
    <w:rsid w:val="00C5041E"/>
    <w:rsid w:val="00CF116C"/>
    <w:rsid w:val="00D034AD"/>
    <w:rsid w:val="00D20419"/>
    <w:rsid w:val="00E008F4"/>
    <w:rsid w:val="00E26C44"/>
    <w:rsid w:val="00E37939"/>
    <w:rsid w:val="00E758D3"/>
    <w:rsid w:val="00ED64B8"/>
    <w:rsid w:val="00EF5B91"/>
    <w:rsid w:val="00F13303"/>
    <w:rsid w:val="00F40132"/>
    <w:rsid w:val="00F6236C"/>
    <w:rsid w:val="07A33756"/>
    <w:rsid w:val="0FBD6556"/>
    <w:rsid w:val="17AA0F22"/>
    <w:rsid w:val="19D3612B"/>
    <w:rsid w:val="2827306E"/>
    <w:rsid w:val="2A5E615E"/>
    <w:rsid w:val="3A1B2E9E"/>
    <w:rsid w:val="3BB853D5"/>
    <w:rsid w:val="3BDC4A2D"/>
    <w:rsid w:val="4FE9024F"/>
    <w:rsid w:val="52836E16"/>
    <w:rsid w:val="53FF9AA2"/>
    <w:rsid w:val="56F7885F"/>
    <w:rsid w:val="5B3F6BA5"/>
    <w:rsid w:val="5F917751"/>
    <w:rsid w:val="5F9743C0"/>
    <w:rsid w:val="6893581B"/>
    <w:rsid w:val="694D1BE6"/>
    <w:rsid w:val="69AC440F"/>
    <w:rsid w:val="69BA2F96"/>
    <w:rsid w:val="69DAE152"/>
    <w:rsid w:val="6BCF7C9F"/>
    <w:rsid w:val="6DFF0E4D"/>
    <w:rsid w:val="6E3D267A"/>
    <w:rsid w:val="6FD5151F"/>
    <w:rsid w:val="6FD7C0D4"/>
    <w:rsid w:val="71B57DBC"/>
    <w:rsid w:val="72F45CB9"/>
    <w:rsid w:val="75DDE367"/>
    <w:rsid w:val="762E1D19"/>
    <w:rsid w:val="77FE35D3"/>
    <w:rsid w:val="795BA1EA"/>
    <w:rsid w:val="79FBF877"/>
    <w:rsid w:val="7AF6757E"/>
    <w:rsid w:val="7D490A7C"/>
    <w:rsid w:val="7E2E230E"/>
    <w:rsid w:val="7F5E70C6"/>
    <w:rsid w:val="7F6F8546"/>
    <w:rsid w:val="7FEF0B58"/>
    <w:rsid w:val="9EFD33DE"/>
    <w:rsid w:val="AB5F3432"/>
    <w:rsid w:val="BFFCD301"/>
    <w:rsid w:val="DEFF3240"/>
    <w:rsid w:val="F7F41D62"/>
    <w:rsid w:val="FDC9BA36"/>
    <w:rsid w:val="FDDF1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200" w:firstLineChars="200"/>
    </w:pPr>
    <w:rPr>
      <w:rFonts w:ascii="Times New Roman" w:hAnsi="Times New Roman" w:eastAsia="宋体" w:cs="Times New Roman"/>
      <w:sz w:val="21"/>
      <w:szCs w:val="22"/>
      <w:lang w:val="en-US" w:eastAsia="zh-CN" w:bidi="ar-SA"/>
    </w:rPr>
  </w:style>
  <w:style w:type="paragraph" w:styleId="2">
    <w:name w:val="heading 1"/>
    <w:basedOn w:val="1"/>
    <w:next w:val="1"/>
    <w:link w:val="19"/>
    <w:qFormat/>
    <w:uiPriority w:val="9"/>
    <w:pPr>
      <w:keepNext/>
      <w:keepLines/>
      <w:spacing w:before="480" w:after="80" w:line="360" w:lineRule="auto"/>
      <w:outlineLvl w:val="0"/>
    </w:pPr>
    <w:rPr>
      <w:rFonts w:eastAsia="黑体" w:asciiTheme="majorHAnsi" w:hAnsiTheme="majorHAnsi" w:cstheme="majorBidi"/>
      <w:b/>
      <w:sz w:val="24"/>
      <w:szCs w:val="48"/>
    </w:rPr>
  </w:style>
  <w:style w:type="paragraph" w:styleId="3">
    <w:name w:val="heading 2"/>
    <w:basedOn w:val="1"/>
    <w:next w:val="1"/>
    <w:link w:val="20"/>
    <w:unhideWhenUsed/>
    <w:qFormat/>
    <w:uiPriority w:val="9"/>
    <w:pPr>
      <w:keepNext/>
      <w:keepLines/>
      <w:spacing w:before="160" w:after="80"/>
      <w:outlineLvl w:val="1"/>
    </w:pPr>
    <w:rPr>
      <w:rFonts w:asciiTheme="majorHAnsi" w:hAnsiTheme="majorHAnsi" w:cstheme="majorBidi"/>
      <w:b/>
      <w:color w:val="000000" w:themeColor="text1"/>
      <w:szCs w:val="40"/>
      <w14:textFill>
        <w14:solidFill>
          <w14:schemeClr w14:val="tx1"/>
        </w14:solidFill>
      </w14:textFill>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pPr>
    <w:rPr>
      <w:sz w:val="18"/>
      <w:szCs w:val="18"/>
    </w:rPr>
  </w:style>
  <w:style w:type="paragraph" w:styleId="12">
    <w:name w:val="header"/>
    <w:basedOn w:val="1"/>
    <w:link w:val="37"/>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oc 2"/>
    <w:basedOn w:val="1"/>
    <w:next w:val="1"/>
    <w:unhideWhenUsed/>
    <w:qFormat/>
    <w:uiPriority w:val="39"/>
    <w:pPr>
      <w:ind w:left="420" w:leftChars="200"/>
    </w:p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Hyperlink"/>
    <w:basedOn w:val="17"/>
    <w:unhideWhenUsed/>
    <w:qFormat/>
    <w:uiPriority w:val="99"/>
    <w:rPr>
      <w:color w:val="467886" w:themeColor="hyperlink"/>
      <w:u w:val="single"/>
      <w14:textFill>
        <w14:solidFill>
          <w14:schemeClr w14:val="hlink"/>
        </w14:solidFill>
      </w14:textFill>
    </w:rPr>
  </w:style>
  <w:style w:type="character" w:customStyle="1" w:styleId="19">
    <w:name w:val="标题 1 字符"/>
    <w:basedOn w:val="17"/>
    <w:link w:val="2"/>
    <w:qFormat/>
    <w:uiPriority w:val="9"/>
    <w:rPr>
      <w:rFonts w:eastAsia="黑体" w:asciiTheme="majorHAnsi" w:hAnsiTheme="majorHAnsi" w:cstheme="majorBidi"/>
      <w:b/>
      <w:kern w:val="0"/>
      <w:sz w:val="24"/>
      <w:szCs w:val="48"/>
    </w:rPr>
  </w:style>
  <w:style w:type="character" w:customStyle="1" w:styleId="20">
    <w:name w:val="标题 2 字符"/>
    <w:basedOn w:val="17"/>
    <w:link w:val="3"/>
    <w:qFormat/>
    <w:uiPriority w:val="0"/>
    <w:rPr>
      <w:rFonts w:eastAsia="宋体" w:asciiTheme="majorHAnsi" w:hAnsiTheme="majorHAnsi" w:cstheme="majorBidi"/>
      <w:b/>
      <w:color w:val="000000" w:themeColor="text1"/>
      <w:kern w:val="0"/>
      <w:szCs w:val="40"/>
      <w14:textFill>
        <w14:solidFill>
          <w14:schemeClr w14:val="tx1"/>
        </w14:solidFill>
      </w14:textFill>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szCs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明显参考1"/>
    <w:basedOn w:val="17"/>
    <w:qFormat/>
    <w:uiPriority w:val="32"/>
    <w:rPr>
      <w:b/>
      <w:bCs/>
      <w:smallCaps/>
      <w:color w:val="104862" w:themeColor="accent1" w:themeShade="BF"/>
      <w:spacing w:val="5"/>
    </w:rPr>
  </w:style>
  <w:style w:type="character" w:customStyle="1" w:styleId="37">
    <w:name w:val="页眉 字符"/>
    <w:basedOn w:val="17"/>
    <w:link w:val="12"/>
    <w:qFormat/>
    <w:uiPriority w:val="99"/>
    <w:rPr>
      <w:sz w:val="18"/>
      <w:szCs w:val="18"/>
    </w:rPr>
  </w:style>
  <w:style w:type="character" w:customStyle="1" w:styleId="38">
    <w:name w:val="页脚 字符"/>
    <w:basedOn w:val="17"/>
    <w:link w:val="11"/>
    <w:qFormat/>
    <w:uiPriority w:val="99"/>
    <w:rPr>
      <w:sz w:val="18"/>
      <w:szCs w:val="18"/>
    </w:rPr>
  </w:style>
  <w:style w:type="paragraph" w:customStyle="1" w:styleId="39">
    <w:name w:val="TOC 标题1"/>
    <w:basedOn w:val="2"/>
    <w:next w:val="1"/>
    <w:unhideWhenUsed/>
    <w:qFormat/>
    <w:uiPriority w:val="39"/>
    <w:pPr>
      <w:spacing w:before="240" w:after="0" w:line="259" w:lineRule="auto"/>
      <w:outlineLvl w:val="9"/>
    </w:pPr>
    <w:rPr>
      <w:sz w:val="32"/>
      <w:szCs w:val="32"/>
    </w:rPr>
  </w:style>
  <w:style w:type="paragraph" w:customStyle="1" w:styleId="40">
    <w:name w:val="列表段落1"/>
    <w:basedOn w:val="1"/>
    <w:qFormat/>
    <w:uiPriority w:val="99"/>
    <w:pPr>
      <w:widowControl w:val="0"/>
      <w:ind w:firstLine="420"/>
      <w:jc w:val="both"/>
    </w:pPr>
    <w:rPr>
      <w:rFonts w:ascii="等线" w:hAnsi="等线" w:eastAsia="等线"/>
      <w:kern w:val="2"/>
    </w:rPr>
  </w:style>
  <w:style w:type="paragraph" w:customStyle="1" w:styleId="41">
    <w:name w:val="Revision"/>
    <w:hidden/>
    <w:unhideWhenUsed/>
    <w:qFormat/>
    <w:uiPriority w:val="99"/>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400</Words>
  <Characters>2280</Characters>
  <Lines>19</Lines>
  <Paragraphs>5</Paragraphs>
  <TotalTime>0</TotalTime>
  <ScaleCrop>false</ScaleCrop>
  <LinksUpToDate>false</LinksUpToDate>
  <CharactersWithSpaces>2675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2026-07-16T02:36:00Z</dcterms:created>
  <dc:creator>admin</dc:creator>
  <cp:lastModifiedBy>user</cp:lastModifiedBy>
  <dcterms:modified xsi:type="dcterms:W3CDTF">2026-07-27T14:55:05Z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eyJoZGlkIjoiNWM5N2IwMzUwMWVhY2Y3Y2NlNWYxNmExOTY3ZjE1NzYiLCJ1c2VySWQiOiI3MTY1ODA0NDUifQ==</vt:lpwstr>
  </property>
  <property fmtid="{D5CDD505-2E9C-101B-9397-08002B2CF9AE}" pid="3" name="KSOProductBuildVer">
    <vt:lpwstr>2052-12.1.2.24730</vt:lpwstr>
  </property>
  <property fmtid="{D5CDD505-2E9C-101B-9397-08002B2CF9AE}" pid="4" name="ICV">
    <vt:lpwstr>819D619ED4DD413CA7B98027184785E3_12</vt:lpwstr>
  </property>
</Properties>
</file>