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EED2A">
      <w:pPr>
        <w:pStyle w:val="8"/>
        <w:spacing w:line="560" w:lineRule="exact"/>
        <w:ind w:firstLine="0" w:firstLineChars="0"/>
        <w:jc w:val="center"/>
        <w:rPr>
          <w:rFonts w:ascii="Times New Roman" w:hAnsi="Times New Roman" w:eastAsia="方正小标宋简体" w:cs="Times New Roman"/>
          <w:color w:val="000000"/>
          <w:sz w:val="44"/>
          <w:szCs w:val="44"/>
        </w:rPr>
      </w:pPr>
      <w:r>
        <w:rPr>
          <w:rFonts w:hint="default" w:ascii="Times New Roman" w:hAnsi="Times New Roman" w:eastAsia="方正小标宋简体" w:cs="Times New Roman"/>
          <w:sz w:val="44"/>
          <w:szCs w:val="44"/>
        </w:rPr>
        <w:t>《北京市碳普惠</w:t>
      </w:r>
      <w:r>
        <w:rPr>
          <w:rFonts w:hint="default" w:ascii="Times New Roman" w:hAnsi="Times New Roman" w:eastAsia="方正小标宋简体" w:cs="Times New Roman"/>
          <w:sz w:val="44"/>
          <w:szCs w:val="44"/>
          <w:lang w:eastAsia="zh-CN"/>
        </w:rPr>
        <w:t>一级</w:t>
      </w:r>
      <w:r>
        <w:rPr>
          <w:rFonts w:hint="default" w:ascii="Times New Roman" w:hAnsi="Times New Roman" w:eastAsia="方正小标宋简体" w:cs="Times New Roman"/>
          <w:sz w:val="44"/>
          <w:szCs w:val="44"/>
        </w:rPr>
        <w:t>方法学 电动汽车消纳绿电（征求意见稿）》</w:t>
      </w:r>
      <w:r>
        <w:rPr>
          <w:rFonts w:hint="default" w:ascii="Times New Roman" w:hAnsi="Times New Roman" w:eastAsia="方正小标宋简体" w:cs="Times New Roman"/>
          <w:color w:val="000000"/>
          <w:sz w:val="44"/>
          <w:szCs w:val="44"/>
        </w:rPr>
        <w:t>编制说明</w:t>
      </w:r>
    </w:p>
    <w:p w14:paraId="59549FC8">
      <w:pPr>
        <w:widowControl/>
        <w:spacing w:line="560" w:lineRule="exact"/>
        <w:ind w:firstLine="640" w:firstLineChars="200"/>
        <w:jc w:val="left"/>
        <w:rPr>
          <w:rFonts w:hint="default" w:ascii="Times New Roman" w:hAnsi="Times New Roman" w:eastAsia="方正仿宋_GB2312" w:cs="Times New Roman"/>
          <w:color w:val="000000"/>
          <w:kern w:val="0"/>
          <w:sz w:val="32"/>
          <w:szCs w:val="32"/>
          <w:lang w:bidi="ar"/>
        </w:rPr>
      </w:pPr>
    </w:p>
    <w:p w14:paraId="3D8638FD">
      <w:pPr>
        <w:widowControl/>
        <w:spacing w:line="560" w:lineRule="exact"/>
        <w:ind w:firstLine="640" w:firstLineChars="200"/>
        <w:jc w:val="left"/>
        <w:rPr>
          <w:rFonts w:ascii="Times New Roman" w:hAnsi="Times New Roman" w:eastAsia="方正仿宋_GB2312" w:cs="Times New Roman"/>
          <w:sz w:val="32"/>
          <w:szCs w:val="32"/>
        </w:rPr>
      </w:pPr>
      <w:r>
        <w:rPr>
          <w:rFonts w:hint="default" w:ascii="Times New Roman" w:hAnsi="Times New Roman" w:eastAsia="方正仿宋_GB2312" w:cs="Times New Roman"/>
          <w:color w:val="000000"/>
          <w:kern w:val="0"/>
          <w:sz w:val="32"/>
          <w:szCs w:val="32"/>
          <w:lang w:bidi="ar"/>
        </w:rPr>
        <w:t>为健全完善北京市碳普惠方法学体系，推动扩大碳普惠应用场景，推动绿色电力消费，北京市生态环境局在面向全社会公开征集方法学建议并开展遴选评估的基础上，组织编制了《北京市碳普惠</w:t>
      </w:r>
      <w:r>
        <w:rPr>
          <w:rFonts w:hint="default" w:ascii="Times New Roman" w:hAnsi="Times New Roman" w:eastAsia="方正仿宋_GB2312" w:cs="Times New Roman"/>
          <w:color w:val="000000"/>
          <w:kern w:val="0"/>
          <w:sz w:val="32"/>
          <w:szCs w:val="32"/>
          <w:lang w:eastAsia="zh-CN" w:bidi="ar"/>
        </w:rPr>
        <w:t>一级</w:t>
      </w:r>
      <w:r>
        <w:rPr>
          <w:rFonts w:hint="default" w:ascii="Times New Roman" w:hAnsi="Times New Roman" w:eastAsia="方正仿宋_GB2312" w:cs="Times New Roman"/>
          <w:color w:val="000000"/>
          <w:kern w:val="0"/>
          <w:sz w:val="32"/>
          <w:szCs w:val="32"/>
          <w:lang w:bidi="ar"/>
        </w:rPr>
        <w:t xml:space="preserve">方法学 电动汽车消纳绿电（征求意见稿）》（以下简称《电车消纳绿电方法学》），有关情况说明如下。 </w:t>
      </w:r>
    </w:p>
    <w:p w14:paraId="3C6C8416">
      <w:pPr>
        <w:widowControl/>
        <w:spacing w:line="560" w:lineRule="exact"/>
        <w:ind w:firstLine="640" w:firstLineChars="200"/>
        <w:jc w:val="left"/>
        <w:rPr>
          <w:rFonts w:ascii="Times New Roman" w:hAnsi="Times New Roman" w:eastAsia="黑体" w:cs="Times New Roman"/>
          <w:color w:val="000000"/>
          <w:kern w:val="0"/>
          <w:sz w:val="32"/>
          <w:szCs w:val="32"/>
          <w:lang w:bidi="ar"/>
        </w:rPr>
      </w:pPr>
      <w:r>
        <w:rPr>
          <w:rFonts w:hint="default" w:ascii="Times New Roman" w:hAnsi="Times New Roman" w:eastAsia="黑体" w:cs="Times New Roman"/>
          <w:color w:val="000000"/>
          <w:kern w:val="0"/>
          <w:sz w:val="32"/>
          <w:szCs w:val="32"/>
          <w:lang w:bidi="ar"/>
        </w:rPr>
        <w:t>一、编制背景与意义</w:t>
      </w:r>
    </w:p>
    <w:p w14:paraId="61722CB8">
      <w:pPr>
        <w:pStyle w:val="8"/>
        <w:adjustRightInd w:val="0"/>
        <w:snapToGrid w:val="0"/>
        <w:spacing w:line="560" w:lineRule="exact"/>
        <w:ind w:firstLine="640"/>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sz w:val="32"/>
          <w:szCs w:val="32"/>
        </w:rPr>
        <w:t>二氧化碳是最主要的温室气体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能源使用是二氧化碳产生的主要领域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kern w:val="0"/>
          <w:sz w:val="32"/>
          <w:szCs w:val="32"/>
          <w:lang w:bidi="ar"/>
        </w:rPr>
        <w:t>绿色电力开发利用</w:t>
      </w:r>
      <w:r>
        <w:rPr>
          <w:rFonts w:hint="default" w:ascii="Times New Roman" w:hAnsi="Times New Roman" w:eastAsia="仿宋_GB2312" w:cs="Times New Roman"/>
          <w:color w:val="000000"/>
          <w:kern w:val="0"/>
          <w:sz w:val="32"/>
          <w:szCs w:val="32"/>
          <w:lang w:val="en-US" w:eastAsia="zh-CN" w:bidi="ar"/>
        </w:rPr>
        <w:t>能减少化石燃料燃烧带来的二氧化碳排放，成为</w:t>
      </w:r>
      <w:r>
        <w:rPr>
          <w:rFonts w:hint="default" w:ascii="Times New Roman" w:hAnsi="Times New Roman" w:eastAsia="仿宋_GB2312" w:cs="Times New Roman"/>
          <w:color w:val="000000"/>
          <w:kern w:val="0"/>
          <w:sz w:val="32"/>
          <w:szCs w:val="32"/>
          <w:lang w:bidi="ar"/>
        </w:rPr>
        <w:t>推进双碳目标落地的关键举措。随着电动汽车保有规模持续扩大，交通终端</w:t>
      </w:r>
      <w:r>
        <w:rPr>
          <w:rFonts w:hint="default" w:ascii="Times New Roman" w:hAnsi="Times New Roman" w:eastAsia="仿宋_GB2312" w:cs="Times New Roman"/>
          <w:color w:val="000000"/>
          <w:kern w:val="0"/>
          <w:sz w:val="32"/>
          <w:szCs w:val="32"/>
          <w:lang w:val="en-US" w:eastAsia="zh-CN" w:bidi="ar"/>
        </w:rPr>
        <w:t>使用绿色电力具有显著</w:t>
      </w:r>
      <w:r>
        <w:rPr>
          <w:rFonts w:hint="default" w:ascii="Times New Roman" w:hAnsi="Times New Roman" w:eastAsia="仿宋_GB2312" w:cs="Times New Roman"/>
          <w:color w:val="000000"/>
          <w:kern w:val="0"/>
          <w:sz w:val="32"/>
          <w:szCs w:val="32"/>
          <w:lang w:bidi="ar"/>
        </w:rPr>
        <w:t>减排</w:t>
      </w:r>
      <w:r>
        <w:rPr>
          <w:rFonts w:hint="default" w:ascii="Times New Roman" w:hAnsi="Times New Roman" w:eastAsia="仿宋_GB2312" w:cs="Times New Roman"/>
          <w:color w:val="000000"/>
          <w:kern w:val="0"/>
          <w:sz w:val="32"/>
          <w:szCs w:val="32"/>
          <w:lang w:val="en-US" w:eastAsia="zh-CN" w:bidi="ar"/>
        </w:rPr>
        <w:t>效益</w:t>
      </w:r>
      <w:r>
        <w:rPr>
          <w:rFonts w:hint="default" w:ascii="Times New Roman" w:hAnsi="Times New Roman" w:eastAsia="仿宋_GB2312" w:cs="Times New Roman"/>
          <w:color w:val="000000"/>
          <w:kern w:val="0"/>
          <w:sz w:val="32"/>
          <w:szCs w:val="32"/>
          <w:lang w:bidi="ar"/>
        </w:rPr>
        <w:t>。</w:t>
      </w:r>
    </w:p>
    <w:p w14:paraId="1A9ED562">
      <w:pPr>
        <w:pStyle w:val="8"/>
        <w:adjustRightInd w:val="0"/>
        <w:snapToGrid w:val="0"/>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为贯彻落实党中央、国务院关于碳达峰、碳中和的重大战略部署，</w:t>
      </w:r>
      <w:r>
        <w:rPr>
          <w:rFonts w:hint="default" w:ascii="Times New Roman" w:hAnsi="Times New Roman" w:eastAsia="仿宋_GB2312" w:cs="Times New Roman"/>
          <w:sz w:val="32"/>
          <w:szCs w:val="32"/>
          <w:lang w:val="en-US" w:eastAsia="zh-CN"/>
        </w:rPr>
        <w:t>市政府</w:t>
      </w:r>
      <w:r>
        <w:rPr>
          <w:rFonts w:hint="default" w:ascii="Times New Roman" w:hAnsi="Times New Roman" w:eastAsia="仿宋_GB2312" w:cs="Times New Roman"/>
          <w:sz w:val="32"/>
          <w:szCs w:val="32"/>
        </w:rPr>
        <w:t>印发了《北京市碳达峰实施方案》，明确提出构建低碳交通体系的重点任务</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lang w:val="en-US" w:eastAsia="zh-CN" w:bidi="ar"/>
        </w:rPr>
        <w:t>市委市政府</w:t>
      </w:r>
      <w:r>
        <w:rPr>
          <w:rFonts w:hint="default" w:ascii="Times New Roman" w:hAnsi="Times New Roman" w:eastAsia="仿宋_GB2312" w:cs="Times New Roman"/>
          <w:sz w:val="32"/>
          <w:szCs w:val="32"/>
        </w:rPr>
        <w:t>《关于全面建设美丽北京加快推进人与自然和谐共生的现代化的实施意见》要求</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Style w:val="5"/>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优化能源结构,严控化石能源利用规模,加快发展新能源和可再生</w:t>
      </w:r>
      <w:r>
        <w:rPr>
          <w:rFonts w:hint="default" w:ascii="Times New Roman" w:hAnsi="Times New Roman" w:eastAsia="仿宋_GB2312" w:cs="Times New Roman"/>
          <w:i w:val="0"/>
          <w:iCs w:val="0"/>
          <w:caps w:val="0"/>
          <w:color w:val="000000" w:themeColor="text1"/>
          <w:spacing w:val="0"/>
          <w:sz w:val="32"/>
          <w:szCs w:val="32"/>
          <w:shd w:val="clear" w:fill="auto"/>
          <w14:textFill>
            <w14:solidFill>
              <w14:schemeClr w14:val="tx1"/>
            </w14:solidFill>
          </w14:textFill>
        </w:rPr>
        <w:t>能</w:t>
      </w:r>
      <w:r>
        <w:rPr>
          <w:rFonts w:hint="default" w:ascii="Times New Roman" w:hAnsi="Times New Roman" w:eastAsia="仿宋_GB2312" w:cs="Times New Roman"/>
          <w:i w:val="0"/>
          <w:iCs w:val="0"/>
          <w:caps w:val="0"/>
          <w:color w:val="333333"/>
          <w:spacing w:val="0"/>
          <w:sz w:val="32"/>
          <w:szCs w:val="32"/>
          <w:shd w:val="clear" w:fill="auto"/>
        </w:rPr>
        <w:t>源</w:t>
      </w:r>
      <w:r>
        <w:rPr>
          <w:rFonts w:hint="eastAsia" w:ascii="Times New Roman" w:hAnsi="Times New Roman" w:eastAsia="仿宋_GB2312" w:cs="Times New Roman"/>
          <w:i w:val="0"/>
          <w:iCs w:val="0"/>
          <w:caps w:val="0"/>
          <w:color w:val="333333"/>
          <w:spacing w:val="0"/>
          <w:sz w:val="32"/>
          <w:szCs w:val="32"/>
          <w:shd w:val="clear" w:fill="auto"/>
          <w:lang w:eastAsia="zh-CN"/>
        </w:rPr>
        <w:t>，</w:t>
      </w:r>
      <w:r>
        <w:rPr>
          <w:rFonts w:hint="default" w:ascii="Times New Roman" w:hAnsi="Times New Roman" w:eastAsia="仿宋_GB2312" w:cs="Times New Roman"/>
          <w:i w:val="0"/>
          <w:iCs w:val="0"/>
          <w:caps w:val="0"/>
          <w:color w:val="333333"/>
          <w:spacing w:val="0"/>
          <w:sz w:val="32"/>
          <w:szCs w:val="32"/>
          <w:shd w:val="clear" w:fill="auto"/>
        </w:rPr>
        <w:t>提高能源供给低碳化和能源消费电气化水平;加快构建新型电力系统,有序扩大外调绿电规模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。立足上述政策导向，本方法学聚焦交通领域深度脱碳，通过机制创新挖掘电动汽车与绿电协同的减排潜力，为低碳交通体系建设提供创新</w:t>
      </w:r>
      <w:r>
        <w:rPr>
          <w:rFonts w:hint="default" w:ascii="Times New Roman" w:hAnsi="Times New Roman" w:eastAsia="仿宋_GB2312" w:cs="Times New Roman"/>
          <w:sz w:val="32"/>
          <w:szCs w:val="32"/>
          <w:lang w:val="en-US" w:eastAsia="zh-CN"/>
        </w:rPr>
        <w:t>模式</w:t>
      </w:r>
      <w:r>
        <w:rPr>
          <w:rFonts w:hint="default" w:ascii="Times New Roman" w:hAnsi="Times New Roman" w:eastAsia="仿宋_GB2312" w:cs="Times New Roman"/>
          <w:sz w:val="32"/>
          <w:szCs w:val="32"/>
        </w:rPr>
        <w:t>支撑和市场化实施路径。本方法学属于低碳交通领域，同时助推区域可再生能源规模化消纳。</w:t>
      </w:r>
    </w:p>
    <w:p w14:paraId="290E618D">
      <w:pPr>
        <w:widowControl/>
        <w:spacing w:line="560" w:lineRule="exact"/>
        <w:ind w:firstLine="640" w:firstLineChars="200"/>
        <w:jc w:val="left"/>
        <w:rPr>
          <w:rFonts w:ascii="Times New Roman" w:hAnsi="Times New Roman" w:eastAsia="黑体" w:cs="Times New Roman"/>
          <w:sz w:val="32"/>
          <w:szCs w:val="32"/>
        </w:rPr>
      </w:pPr>
      <w:r>
        <w:rPr>
          <w:rFonts w:hint="default" w:ascii="Times New Roman" w:hAnsi="Times New Roman" w:eastAsia="黑体" w:cs="Times New Roman"/>
          <w:color w:val="000000"/>
          <w:kern w:val="0"/>
          <w:sz w:val="32"/>
          <w:szCs w:val="32"/>
          <w:lang w:bidi="ar"/>
        </w:rPr>
        <w:t xml:space="preserve">二、编制过程 </w:t>
      </w:r>
    </w:p>
    <w:p w14:paraId="6FE01F09">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2025年9</w:t>
      </w:r>
      <w:r>
        <w:rPr>
          <w:rFonts w:hint="eastAsia" w:ascii="Times New Roman" w:hAnsi="Times New Roman" w:eastAsia="仿宋_GB2312" w:cs="Times New Roman"/>
          <w:color w:val="000000"/>
          <w:sz w:val="32"/>
          <w:szCs w:val="32"/>
          <w:lang w:eastAsia="zh-CN"/>
        </w:rPr>
        <w:t>月</w:t>
      </w:r>
      <w:r>
        <w:rPr>
          <w:rFonts w:hint="eastAsia"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月，北京市生态环境局印发相关通知，面向全社会公开征集碳普惠方法学开发需求，有序组织开展方法学</w:t>
      </w:r>
      <w:r>
        <w:rPr>
          <w:rFonts w:hint="eastAsia" w:ascii="Times New Roman" w:hAnsi="Times New Roman" w:eastAsia="仿宋_GB2312" w:cs="Times New Roman"/>
          <w:color w:val="000000"/>
          <w:sz w:val="32"/>
          <w:szCs w:val="32"/>
          <w:lang w:eastAsia="zh-CN"/>
        </w:rPr>
        <w:t>评估遴选</w:t>
      </w:r>
      <w:r>
        <w:rPr>
          <w:rFonts w:hint="default" w:ascii="Times New Roman" w:hAnsi="Times New Roman" w:eastAsia="仿宋_GB2312" w:cs="Times New Roman"/>
          <w:color w:val="000000"/>
          <w:sz w:val="32"/>
          <w:szCs w:val="32"/>
        </w:rPr>
        <w:t>工作</w:t>
      </w:r>
      <w:r>
        <w:rPr>
          <w:rFonts w:hint="eastAsia" w:ascii="Times New Roman" w:hAnsi="Times New Roman" w:eastAsia="仿宋_GB2312" w:cs="Times New Roman"/>
          <w:color w:val="000000"/>
          <w:sz w:val="32"/>
          <w:szCs w:val="32"/>
          <w:lang w:eastAsia="zh-CN"/>
        </w:rPr>
        <w:t>，方法学建议提交单位及领域专家成立方法学编制工作组</w:t>
      </w:r>
      <w:r>
        <w:rPr>
          <w:rFonts w:hint="default" w:ascii="Times New Roman" w:hAnsi="Times New Roman" w:eastAsia="仿宋_GB2312" w:cs="Times New Roman"/>
          <w:color w:val="000000"/>
          <w:sz w:val="32"/>
          <w:szCs w:val="32"/>
        </w:rPr>
        <w:t>。</w:t>
      </w:r>
    </w:p>
    <w:p w14:paraId="4A2D9B1E">
      <w:pPr>
        <w:adjustRightInd w:val="0"/>
        <w:snapToGrid w:val="0"/>
        <w:spacing w:line="560" w:lineRule="exact"/>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02</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年</w:t>
      </w: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月，编制工作组</w:t>
      </w:r>
      <w:r>
        <w:rPr>
          <w:rFonts w:hint="eastAsia" w:ascii="Times New Roman" w:hAnsi="Times New Roman" w:eastAsia="仿宋_GB2312" w:cs="Times New Roman"/>
          <w:color w:val="000000"/>
          <w:sz w:val="32"/>
          <w:szCs w:val="32"/>
          <w:lang w:val="en-US" w:eastAsia="zh-CN"/>
        </w:rPr>
        <w:t>通过专家评审会、组织座谈等方式</w:t>
      </w:r>
      <w:r>
        <w:rPr>
          <w:rFonts w:hint="default" w:ascii="Times New Roman" w:hAnsi="Times New Roman" w:eastAsia="仿宋_GB2312" w:cs="Times New Roman"/>
          <w:color w:val="000000"/>
          <w:sz w:val="32"/>
          <w:szCs w:val="32"/>
          <w:lang w:val="en-US" w:eastAsia="zh-CN"/>
        </w:rPr>
        <w:t>，围绕方法学的项目边界、基准线与项目排放计算公式、碳排放因子选择等内容开展专题研讨，明确优化完善意见。</w:t>
      </w:r>
    </w:p>
    <w:p w14:paraId="0C4AAB99">
      <w:pPr>
        <w:adjustRightInd w:val="0"/>
        <w:snapToGrid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年</w:t>
      </w: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月</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年7月</w:t>
      </w:r>
      <w:r>
        <w:rPr>
          <w:rFonts w:hint="eastAsia" w:ascii="Times New Roman" w:hAnsi="Times New Roman" w:eastAsia="仿宋_GB2312" w:cs="Times New Roman"/>
          <w:color w:val="000000"/>
          <w:sz w:val="32"/>
          <w:szCs w:val="32"/>
          <w:lang w:eastAsia="zh-CN"/>
        </w:rPr>
        <w:t>，编制工作组按照专家意见，</w:t>
      </w:r>
      <w:r>
        <w:rPr>
          <w:rFonts w:hint="default" w:ascii="Times New Roman" w:hAnsi="Times New Roman" w:eastAsia="仿宋_GB2312" w:cs="Times New Roman"/>
          <w:color w:val="000000"/>
          <w:sz w:val="32"/>
          <w:szCs w:val="32"/>
        </w:rPr>
        <w:t>科学校准基准线、项目情景相关核算参数，健全监测数据采集校准机制，统一规范行文格式与专业表述，删除重复冗余情景设置与附属说明，明确项目落地实施与收益分配细化要求，保障项目具备长期稳定实施条件。经多方研讨修订后，形成本方法学征求意见稿。</w:t>
      </w:r>
    </w:p>
    <w:p w14:paraId="26EF1192">
      <w:pPr>
        <w:widowControl/>
        <w:spacing w:line="560" w:lineRule="exact"/>
        <w:ind w:firstLine="640" w:firstLineChars="200"/>
        <w:jc w:val="left"/>
        <w:rPr>
          <w:rFonts w:ascii="Times New Roman" w:hAnsi="Times New Roman" w:eastAsia="黑体" w:cs="Times New Roman"/>
          <w:sz w:val="32"/>
          <w:szCs w:val="32"/>
        </w:rPr>
      </w:pPr>
      <w:r>
        <w:rPr>
          <w:rFonts w:hint="default" w:ascii="Times New Roman" w:hAnsi="Times New Roman" w:eastAsia="黑体" w:cs="Times New Roman"/>
          <w:color w:val="000000"/>
          <w:kern w:val="0"/>
          <w:sz w:val="32"/>
          <w:szCs w:val="32"/>
          <w:lang w:bidi="ar"/>
        </w:rPr>
        <w:t xml:space="preserve">三、主要内容 </w:t>
      </w:r>
    </w:p>
    <w:p w14:paraId="4786F5D9">
      <w:pPr>
        <w:widowControl/>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bidi="ar"/>
        </w:rPr>
        <w:t>本方法学共包括10章及附表。</w:t>
      </w:r>
    </w:p>
    <w:p w14:paraId="3D95F631">
      <w:pPr>
        <w:widowControl/>
        <w:spacing w:line="56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第1章“引言”，说明本方法学的减排机理为电动汽车</w:t>
      </w:r>
      <w:r>
        <w:rPr>
          <w:rFonts w:hint="default" w:ascii="Times New Roman" w:hAnsi="Times New Roman" w:eastAsia="仿宋_GB2312" w:cs="Times New Roman"/>
          <w:sz w:val="32"/>
          <w:szCs w:val="32"/>
        </w:rPr>
        <w:t>在经营性集中式公共充电终端充电时选择绿电，减少交通领域温室气体排放</w:t>
      </w:r>
      <w:r>
        <w:rPr>
          <w:rFonts w:hint="default" w:ascii="Times New Roman" w:hAnsi="Times New Roman" w:eastAsia="仿宋_GB2312" w:cs="Times New Roman"/>
          <w:color w:val="000000"/>
          <w:kern w:val="0"/>
          <w:sz w:val="32"/>
          <w:szCs w:val="32"/>
          <w:lang w:bidi="ar"/>
        </w:rPr>
        <w:t>，明确本方法学归属低碳交通领域</w:t>
      </w:r>
      <w:r>
        <w:rPr>
          <w:rFonts w:hint="default" w:ascii="Times New Roman" w:hAnsi="Times New Roman" w:eastAsia="仿宋_GB2312" w:cs="Times New Roman"/>
          <w:color w:val="000000"/>
          <w:kern w:val="0"/>
          <w:sz w:val="32"/>
          <w:szCs w:val="32"/>
          <w:lang w:val="en-US" w:eastAsia="zh-CN" w:bidi="ar"/>
        </w:rPr>
        <w:t>方法学</w:t>
      </w:r>
      <w:r>
        <w:rPr>
          <w:rFonts w:hint="default" w:ascii="Times New Roman" w:hAnsi="Times New Roman" w:eastAsia="仿宋_GB2312" w:cs="Times New Roman"/>
          <w:color w:val="000000"/>
          <w:kern w:val="0"/>
          <w:sz w:val="32"/>
          <w:szCs w:val="32"/>
          <w:lang w:bidi="ar"/>
        </w:rPr>
        <w:t>。</w:t>
      </w:r>
    </w:p>
    <w:p w14:paraId="5427D2E3">
      <w:pPr>
        <w:widowControl/>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bidi="ar"/>
        </w:rPr>
        <w:t>第2章“适用条件”，明确本方法学适用范围，仅限本</w:t>
      </w:r>
      <w:r>
        <w:rPr>
          <w:rFonts w:hint="default" w:ascii="Times New Roman" w:hAnsi="Times New Roman" w:eastAsia="仿宋_GB2312" w:cs="Times New Roman"/>
          <w:sz w:val="32"/>
          <w:szCs w:val="32"/>
        </w:rPr>
        <w:t>市行政区域范围内经营性集中式公共充电终端，且终端供电电力须为100%绿电。</w:t>
      </w:r>
    </w:p>
    <w:p w14:paraId="16BEC04C">
      <w:pPr>
        <w:pStyle w:val="8"/>
        <w:adjustRightInd w:val="0"/>
        <w:snapToGrid w:val="0"/>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bidi="ar"/>
        </w:rPr>
        <w:t>第3章“引用文件”，系统梳理列明本方法学编制所依据的相关</w:t>
      </w:r>
      <w:r>
        <w:rPr>
          <w:rFonts w:hint="default" w:ascii="Times New Roman" w:hAnsi="Times New Roman" w:eastAsia="仿宋_GB2312" w:cs="Times New Roman"/>
          <w:sz w:val="32"/>
          <w:szCs w:val="32"/>
        </w:rPr>
        <w:t>政策及技术文件</w:t>
      </w:r>
      <w:r>
        <w:rPr>
          <w:rFonts w:hint="default" w:ascii="Times New Roman" w:hAnsi="Times New Roman" w:eastAsia="仿宋_GB2312" w:cs="Times New Roman"/>
          <w:color w:val="000000"/>
          <w:kern w:val="0"/>
          <w:sz w:val="32"/>
          <w:szCs w:val="32"/>
          <w:lang w:bidi="ar"/>
        </w:rPr>
        <w:t xml:space="preserve">。 </w:t>
      </w:r>
    </w:p>
    <w:p w14:paraId="14008A95">
      <w:pPr>
        <w:widowControl/>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bidi="ar"/>
        </w:rPr>
        <w:t>第4章“术语和定义”，参照电动汽车及充电基础设施相关标准规范，明确</w:t>
      </w:r>
      <w:r>
        <w:rPr>
          <w:rFonts w:hint="default" w:ascii="Times New Roman" w:hAnsi="Times New Roman" w:eastAsia="仿宋_GB2312" w:cs="Times New Roman"/>
          <w:color w:val="000000"/>
          <w:kern w:val="0"/>
          <w:sz w:val="32"/>
          <w:szCs w:val="32"/>
          <w:lang w:val="en-US" w:eastAsia="zh-CN" w:bidi="ar"/>
        </w:rPr>
        <w:t>7个</w:t>
      </w:r>
      <w:r>
        <w:rPr>
          <w:rFonts w:hint="default" w:ascii="Times New Roman" w:hAnsi="Times New Roman" w:eastAsia="仿宋_GB2312" w:cs="Times New Roman"/>
          <w:color w:val="000000"/>
          <w:kern w:val="0"/>
          <w:sz w:val="32"/>
          <w:szCs w:val="32"/>
          <w:lang w:bidi="ar"/>
        </w:rPr>
        <w:t xml:space="preserve">核心专业术语释义。 </w:t>
      </w:r>
    </w:p>
    <w:p w14:paraId="2E92580C">
      <w:pPr>
        <w:widowControl/>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bidi="ar"/>
        </w:rPr>
        <w:t>第5章“项目边界、计入期和温室气体排放源”，规定项目边界范围，涵盖</w:t>
      </w:r>
      <w:r>
        <w:rPr>
          <w:rFonts w:hint="default" w:ascii="Times New Roman" w:hAnsi="Times New Roman" w:eastAsia="仿宋_GB2312" w:cs="Times New Roman"/>
          <w:sz w:val="32"/>
          <w:szCs w:val="32"/>
        </w:rPr>
        <w:t>项目运营充电终端及终端充电车辆主体；明确</w:t>
      </w:r>
      <w:r>
        <w:rPr>
          <w:rFonts w:hint="default" w:ascii="Times New Roman" w:hAnsi="Times New Roman" w:eastAsia="仿宋_GB2312" w:cs="Times New Roman"/>
          <w:color w:val="000000"/>
          <w:kern w:val="0"/>
          <w:sz w:val="32"/>
          <w:szCs w:val="32"/>
          <w:lang w:bidi="ar"/>
        </w:rPr>
        <w:t xml:space="preserve">项目计入期起止界定规则，识别绿色电力消纳场景下基准线情景和项目情景对应的温室气体排放源和气体种类。 </w:t>
      </w:r>
    </w:p>
    <w:p w14:paraId="49979A89">
      <w:pPr>
        <w:pStyle w:val="9"/>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bidi="ar"/>
        </w:rPr>
        <w:t>第6章“项目减排量核算方法”，规定</w:t>
      </w:r>
      <w:r>
        <w:rPr>
          <w:rFonts w:hint="default" w:ascii="Times New Roman" w:hAnsi="Times New Roman" w:eastAsia="仿宋_GB2312" w:cs="Times New Roman"/>
          <w:sz w:val="32"/>
          <w:szCs w:val="32"/>
        </w:rPr>
        <w:t>电动汽车绿色电力消纳</w:t>
      </w:r>
      <w:r>
        <w:rPr>
          <w:rFonts w:hint="default" w:ascii="Times New Roman" w:hAnsi="Times New Roman" w:eastAsia="仿宋_GB2312" w:cs="Times New Roman"/>
          <w:color w:val="000000"/>
          <w:sz w:val="32"/>
          <w:szCs w:val="32"/>
          <w:lang w:bidi="ar"/>
        </w:rPr>
        <w:t xml:space="preserve">项目的基准线情景、项目情景判定标准和减排量核算方法。 </w:t>
      </w:r>
    </w:p>
    <w:p w14:paraId="10D87B9F">
      <w:pPr>
        <w:widowControl/>
        <w:spacing w:line="56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第7章“数据监测和管理”，明确项目设计阶段与运行阶段的核心监测参数，说明数据来源、监测位置及监测频次，规范项目全周期数据管理工作要求。</w:t>
      </w:r>
    </w:p>
    <w:p w14:paraId="448B71CB">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bidi="ar"/>
        </w:rPr>
        <w:t>第8章“</w:t>
      </w:r>
      <w:r>
        <w:rPr>
          <w:rFonts w:hint="default" w:ascii="Times New Roman" w:hAnsi="Times New Roman" w:eastAsia="仿宋_GB2312" w:cs="Times New Roman"/>
          <w:sz w:val="32"/>
          <w:szCs w:val="32"/>
        </w:rPr>
        <w:t>项目实施与收益管理方案</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sz w:val="32"/>
          <w:szCs w:val="32"/>
        </w:rPr>
        <w:t>明确项目开发方运营管理制度、人员配置标准；确立碳普惠收益分配机制，规定扣除必要管理费用后，全部收益返还参与用户。</w:t>
      </w:r>
    </w:p>
    <w:p w14:paraId="73954AF7">
      <w:pPr>
        <w:widowControl/>
        <w:spacing w:line="56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第9章“</w:t>
      </w:r>
      <w:r>
        <w:rPr>
          <w:rFonts w:hint="default" w:ascii="Times New Roman" w:hAnsi="Times New Roman" w:eastAsia="仿宋_GB2312" w:cs="Times New Roman"/>
          <w:color w:val="000000" w:themeColor="text1"/>
          <w:sz w:val="32"/>
          <w:szCs w:val="32"/>
          <w14:textFill>
            <w14:solidFill>
              <w14:schemeClr w14:val="tx1"/>
            </w14:solidFill>
          </w14:textFill>
        </w:rPr>
        <w:t>项目核查要求</w:t>
      </w:r>
      <w:r>
        <w:rPr>
          <w:rFonts w:hint="default" w:ascii="Times New Roman" w:hAnsi="Times New Roman" w:eastAsia="仿宋_GB2312" w:cs="Times New Roman"/>
          <w:color w:val="000000"/>
          <w:kern w:val="0"/>
          <w:sz w:val="32"/>
          <w:szCs w:val="32"/>
          <w:lang w:bidi="ar"/>
        </w:rPr>
        <w:t>”，明确项目</w:t>
      </w:r>
      <w:r>
        <w:rPr>
          <w:rFonts w:hint="default" w:ascii="Times New Roman" w:hAnsi="Times New Roman" w:eastAsia="仿宋_GB2312" w:cs="Times New Roman"/>
          <w:sz w:val="32"/>
          <w:szCs w:val="32"/>
        </w:rPr>
        <w:t>适用条件、边界范围、计入期、减排量核算、</w:t>
      </w:r>
      <w:r>
        <w:rPr>
          <w:rFonts w:hint="default" w:ascii="Times New Roman" w:hAnsi="Times New Roman" w:eastAsia="仿宋_GB2312" w:cs="Times New Roman"/>
          <w:color w:val="000000"/>
          <w:kern w:val="0"/>
          <w:sz w:val="32"/>
          <w:szCs w:val="32"/>
          <w:lang w:bidi="ar"/>
        </w:rPr>
        <w:t>监测计划等关键环节的核查要点与方法。</w:t>
      </w:r>
    </w:p>
    <w:p w14:paraId="708BE747">
      <w:pPr>
        <w:widowControl/>
        <w:spacing w:line="56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 xml:space="preserve">第10章“方法学编制单位”，列明为本方法学编制作工作提供支撑、作出贡献的相关参编单位。 </w:t>
      </w:r>
    </w:p>
    <w:p w14:paraId="23B66947">
      <w:pPr>
        <w:widowControl/>
        <w:spacing w:line="56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附表说明了本方法学项目数据监测基础信息及监测数据格式规范。</w:t>
      </w:r>
    </w:p>
    <w:p w14:paraId="1A871933">
      <w:pPr>
        <w:widowControl/>
        <w:spacing w:line="560" w:lineRule="exact"/>
        <w:ind w:firstLine="643" w:firstLineChars="200"/>
        <w:jc w:val="left"/>
        <w:rPr>
          <w:rFonts w:ascii="Times New Roman" w:hAnsi="Times New Roman" w:eastAsia="黑体" w:cs="Times New Roman"/>
          <w:b/>
          <w:bCs/>
          <w:color w:val="000000"/>
          <w:kern w:val="0"/>
          <w:sz w:val="32"/>
          <w:szCs w:val="32"/>
          <w:lang w:bidi="ar"/>
        </w:rPr>
      </w:pPr>
      <w:r>
        <w:rPr>
          <w:rFonts w:hint="default" w:ascii="Times New Roman" w:hAnsi="Times New Roman" w:eastAsia="黑体" w:cs="Times New Roman"/>
          <w:b/>
          <w:bCs/>
          <w:color w:val="000000"/>
          <w:kern w:val="0"/>
          <w:sz w:val="32"/>
          <w:szCs w:val="32"/>
          <w:lang w:bidi="ar"/>
        </w:rPr>
        <w:t>四、需要重点说明的问题</w:t>
      </w:r>
    </w:p>
    <w:p w14:paraId="1A297CC0">
      <w:pPr>
        <w:widowControl/>
        <w:numPr>
          <w:ilvl w:val="0"/>
          <w:numId w:val="1"/>
        </w:numPr>
        <w:spacing w:line="560" w:lineRule="exact"/>
        <w:jc w:val="left"/>
        <w:rPr>
          <w:rFonts w:ascii="Times New Roman" w:hAnsi="Times New Roman" w:eastAsia="楷体_GB2312" w:cs="Times New Roman"/>
          <w:color w:val="000000"/>
          <w:kern w:val="0"/>
          <w:sz w:val="32"/>
          <w:szCs w:val="32"/>
          <w:lang w:bidi="ar"/>
        </w:rPr>
      </w:pPr>
      <w:r>
        <w:rPr>
          <w:rFonts w:hint="default" w:ascii="Times New Roman" w:hAnsi="Times New Roman" w:eastAsia="楷体_GB2312" w:cs="Times New Roman"/>
          <w:color w:val="000000"/>
          <w:kern w:val="0"/>
          <w:sz w:val="32"/>
          <w:szCs w:val="32"/>
          <w:lang w:val="en-US" w:eastAsia="zh-CN" w:bidi="ar"/>
        </w:rPr>
        <w:t>关于方法学类别的说明</w:t>
      </w:r>
    </w:p>
    <w:p w14:paraId="160E37E2">
      <w:pPr>
        <w:widowControl/>
        <w:numPr>
          <w:ilvl w:val="-1"/>
          <w:numId w:val="0"/>
        </w:numPr>
        <w:spacing w:line="560" w:lineRule="exact"/>
        <w:ind w:firstLine="640" w:firstLineChars="200"/>
        <w:jc w:val="left"/>
        <w:rPr>
          <w:rFonts w:hint="default" w:ascii="Times New Roman" w:hAnsi="Times New Roman" w:eastAsia="楷体_GB2312" w:cs="Times New Roman"/>
          <w:color w:val="000000"/>
          <w:kern w:val="0"/>
          <w:sz w:val="32"/>
          <w:szCs w:val="32"/>
          <w:lang w:val="en-US" w:bidi="ar"/>
        </w:rPr>
      </w:pPr>
      <w:r>
        <w:rPr>
          <w:rFonts w:hint="default" w:ascii="Times New Roman" w:hAnsi="Times New Roman" w:eastAsia="仿宋_GB2312" w:cs="Times New Roman"/>
          <w:color w:val="000000"/>
          <w:kern w:val="0"/>
          <w:sz w:val="32"/>
          <w:szCs w:val="32"/>
          <w:lang w:val="en-US" w:eastAsia="zh-CN" w:bidi="ar"/>
        </w:rPr>
        <w:t>本方法学减排逻辑清晰，核算科学、准确，相关数据具备监测、报告和核查条件，归属为一级方法学。</w:t>
      </w:r>
      <w:r>
        <w:rPr>
          <w:rFonts w:hint="eastAsia" w:ascii="Times New Roman" w:hAnsi="Times New Roman" w:eastAsia="仿宋_GB2312" w:cs="Times New Roman"/>
          <w:color w:val="000000"/>
          <w:kern w:val="0"/>
          <w:sz w:val="32"/>
          <w:szCs w:val="32"/>
          <w:lang w:val="en-US" w:eastAsia="zh-CN" w:bidi="ar"/>
        </w:rPr>
        <w:t>依据一级方法学开发并经审核予以登记的项目为一类项目，产生的减排量登记后，可通过北京市碳排放权交易系统进行交易。</w:t>
      </w:r>
    </w:p>
    <w:p w14:paraId="258D55B8">
      <w:pPr>
        <w:widowControl/>
        <w:numPr>
          <w:ilvl w:val="0"/>
          <w:numId w:val="1"/>
        </w:numPr>
        <w:spacing w:line="560" w:lineRule="exact"/>
        <w:jc w:val="left"/>
        <w:rPr>
          <w:rFonts w:ascii="Times New Roman" w:hAnsi="Times New Roman" w:eastAsia="楷体_GB2312" w:cs="Times New Roman"/>
          <w:color w:val="000000"/>
          <w:kern w:val="0"/>
          <w:sz w:val="32"/>
          <w:szCs w:val="32"/>
          <w:lang w:bidi="ar"/>
        </w:rPr>
      </w:pPr>
      <w:r>
        <w:rPr>
          <w:rFonts w:hint="default" w:ascii="Times New Roman" w:hAnsi="Times New Roman" w:eastAsia="楷体_GB2312" w:cs="Times New Roman"/>
          <w:color w:val="000000"/>
          <w:kern w:val="0"/>
          <w:sz w:val="32"/>
          <w:szCs w:val="32"/>
          <w:lang w:bidi="ar"/>
        </w:rPr>
        <w:t>方法学创新</w:t>
      </w:r>
    </w:p>
    <w:p w14:paraId="706F589F">
      <w:pPr>
        <w:widowControl/>
        <w:numPr>
          <w:ilvl w:val="-1"/>
          <w:numId w:val="0"/>
        </w:numPr>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kern w:val="0"/>
          <w:sz w:val="32"/>
          <w:szCs w:val="32"/>
          <w:lang w:val="en-US" w:eastAsia="zh-CN" w:bidi="ar"/>
        </w:rPr>
        <w:t>当前国内外暂未见针对电动汽车依托公共充电终端消纳绿电的同类减排方法学，具备较强创新性。本方法学通过核算电动汽车充电消纳绿色电力产生的减排量，将绿电交易融入日常充电应用场景，进一步拓宽公众参与碳普惠项目的渠道，引导和激励社会公众践行绿色低碳生活。</w:t>
      </w:r>
    </w:p>
    <w:p w14:paraId="2239E2A9">
      <w:pPr>
        <w:widowControl/>
        <w:numPr>
          <w:ilvl w:val="0"/>
          <w:numId w:val="1"/>
        </w:numPr>
        <w:spacing w:line="560" w:lineRule="exact"/>
        <w:jc w:val="left"/>
        <w:rPr>
          <w:rFonts w:ascii="Times New Roman" w:hAnsi="Times New Roman" w:eastAsia="楷体_GB2312" w:cs="Times New Roman"/>
          <w:color w:val="000000"/>
          <w:kern w:val="0"/>
          <w:sz w:val="32"/>
          <w:szCs w:val="32"/>
          <w:lang w:bidi="ar"/>
        </w:rPr>
      </w:pPr>
      <w:r>
        <w:rPr>
          <w:rFonts w:hint="default" w:ascii="Times New Roman" w:hAnsi="Times New Roman" w:eastAsia="楷体_GB2312" w:cs="Times New Roman"/>
          <w:color w:val="000000"/>
          <w:kern w:val="0"/>
          <w:sz w:val="32"/>
          <w:szCs w:val="32"/>
          <w:lang w:bidi="ar"/>
        </w:rPr>
        <w:t>适用条件的保守性</w:t>
      </w:r>
    </w:p>
    <w:p w14:paraId="3C9F57A6">
      <w:pPr>
        <w:widowControl/>
        <w:spacing w:line="560" w:lineRule="exact"/>
        <w:ind w:firstLine="640" w:firstLineChars="200"/>
        <w:jc w:val="left"/>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公共充电终端做为独立工商业用电主体，配套完善的运营管理体系，绿电溯源清晰、数据可核可查。本方法学明确要求终端供电为100%绿电，有效引导项目开发方足额采购绿电，规范用户绿电消纳行为，保障项目减排效益真实可控。</w:t>
      </w:r>
    </w:p>
    <w:p w14:paraId="33243419">
      <w:pPr>
        <w:widowControl/>
        <w:numPr>
          <w:ilvl w:val="0"/>
          <w:numId w:val="1"/>
        </w:numPr>
        <w:spacing w:line="560" w:lineRule="exact"/>
        <w:jc w:val="left"/>
        <w:rPr>
          <w:rFonts w:ascii="Times New Roman" w:hAnsi="Times New Roman" w:eastAsia="楷体_GB2312" w:cs="Times New Roman"/>
          <w:color w:val="000000"/>
          <w:kern w:val="0"/>
          <w:sz w:val="32"/>
          <w:szCs w:val="32"/>
          <w:lang w:bidi="ar"/>
        </w:rPr>
      </w:pPr>
      <w:r>
        <w:rPr>
          <w:rFonts w:hint="default" w:ascii="Times New Roman" w:hAnsi="Times New Roman" w:eastAsia="楷体_GB2312" w:cs="Times New Roman"/>
          <w:color w:val="000000"/>
          <w:kern w:val="0"/>
          <w:sz w:val="32"/>
          <w:szCs w:val="32"/>
          <w:lang w:bidi="ar"/>
        </w:rPr>
        <w:t>基准线碳排放因子选取</w:t>
      </w:r>
    </w:p>
    <w:p w14:paraId="3FE28137">
      <w:pPr>
        <w:widowControl/>
        <w:spacing w:line="560" w:lineRule="exact"/>
        <w:jc w:val="both"/>
        <w:rPr>
          <w:rFonts w:hint="default" w:ascii="Times New Roman" w:hAnsi="Times New Roman" w:eastAsia="仿宋_GB2312" w:cs="Times New Roman"/>
          <w:color w:val="000000"/>
          <w:kern w:val="0"/>
          <w:sz w:val="32"/>
          <w:szCs w:val="32"/>
          <w:highlight w:val="yellow"/>
          <w:lang w:bidi="ar"/>
        </w:rPr>
      </w:pPr>
      <w:r>
        <w:rPr>
          <w:rFonts w:hint="default" w:ascii="Times New Roman" w:hAnsi="Times New Roman" w:eastAsia="方正仿宋_GB2312" w:cs="Times New Roman"/>
          <w:b/>
          <w:bCs/>
          <w:color w:val="000000"/>
          <w:kern w:val="0"/>
          <w:sz w:val="32"/>
          <w:szCs w:val="32"/>
          <w:lang w:bidi="ar"/>
        </w:rPr>
        <w:t xml:space="preserve">   </w:t>
      </w:r>
      <w:r>
        <w:rPr>
          <w:rFonts w:hint="default" w:ascii="Times New Roman" w:hAnsi="Times New Roman" w:eastAsia="仿宋_GB2312" w:cs="Times New Roman"/>
          <w:b/>
          <w:bCs/>
          <w:color w:val="000000"/>
          <w:kern w:val="0"/>
          <w:sz w:val="32"/>
          <w:szCs w:val="32"/>
          <w:lang w:bidi="ar"/>
        </w:rPr>
        <w:t xml:space="preserve"> </w:t>
      </w:r>
      <w:r>
        <w:rPr>
          <w:rFonts w:hint="default" w:ascii="Times New Roman" w:hAnsi="Times New Roman" w:eastAsia="仿宋_GB2312" w:cs="Times New Roman"/>
          <w:color w:val="000000"/>
          <w:kern w:val="0"/>
          <w:sz w:val="32"/>
          <w:szCs w:val="32"/>
          <w:lang w:bidi="ar"/>
        </w:rPr>
        <w:t>本方法学统一采用北京市碳排放权交易市场官方电力二氧化碳排放因</w:t>
      </w:r>
      <w:r>
        <w:rPr>
          <w:rFonts w:hint="default" w:ascii="Times New Roman" w:hAnsi="Times New Roman" w:eastAsia="仿宋_GB2312" w:cs="Times New Roman"/>
          <w:color w:val="000000" w:themeColor="text1"/>
          <w:kern w:val="0"/>
          <w:sz w:val="32"/>
          <w:szCs w:val="32"/>
          <w:highlight w:val="none"/>
          <w:lang w:bidi="ar"/>
          <w14:textFill>
            <w14:solidFill>
              <w14:schemeClr w14:val="tx1"/>
            </w14:solidFill>
          </w14:textFill>
        </w:rPr>
        <w:t>子核算基准线排放量。鉴于项目产生的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碳减排量主要纳入本</w:t>
      </w:r>
      <w:r>
        <w:rPr>
          <w:rFonts w:hint="default" w:ascii="Times New Roman" w:hAnsi="Times New Roman" w:eastAsia="仿宋_GB2312" w:cs="Times New Roman"/>
          <w:color w:val="000000" w:themeColor="text1"/>
          <w:kern w:val="0"/>
          <w:sz w:val="32"/>
          <w:szCs w:val="32"/>
          <w:highlight w:val="none"/>
          <w:lang w:bidi="ar"/>
          <w14:textFill>
            <w14:solidFill>
              <w14:schemeClr w14:val="tx1"/>
            </w14:solidFill>
          </w14:textFill>
        </w:rPr>
        <w:t>市碳排放权交易市场管理体系，选用统一核算因子可保障数据口径规范一致。</w:t>
      </w:r>
    </w:p>
    <w:p w14:paraId="3A515B3C">
      <w:pPr>
        <w:widowControl/>
        <w:numPr>
          <w:ilvl w:val="0"/>
          <w:numId w:val="1"/>
        </w:numPr>
        <w:spacing w:line="560" w:lineRule="exact"/>
        <w:jc w:val="left"/>
        <w:rPr>
          <w:rFonts w:ascii="Times New Roman" w:hAnsi="Times New Roman" w:eastAsia="楷体_GB2312" w:cs="Times New Roman"/>
          <w:color w:val="000000"/>
          <w:kern w:val="0"/>
          <w:sz w:val="32"/>
          <w:szCs w:val="32"/>
          <w:lang w:bidi="ar"/>
        </w:rPr>
      </w:pPr>
      <w:r>
        <w:rPr>
          <w:rFonts w:hint="default" w:ascii="Times New Roman" w:hAnsi="Times New Roman" w:eastAsia="楷体_GB2312" w:cs="Times New Roman"/>
          <w:color w:val="000000"/>
          <w:kern w:val="0"/>
          <w:sz w:val="32"/>
          <w:szCs w:val="32"/>
          <w:lang w:bidi="ar"/>
        </w:rPr>
        <w:t>数据质量管理</w:t>
      </w:r>
    </w:p>
    <w:p w14:paraId="737F3391">
      <w:pPr>
        <w:widowControl/>
        <w:spacing w:line="56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项目开发方须建立完善的数据管理制度，全面规范项目运行各类数据台账，确保项目相关数据信息统一归集、对接本市碳普惠管理服务平台，实现数据标准化、规范化管理。</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4728424"/>
      <w:docPartObj>
        <w:docPartGallery w:val="autotext"/>
      </w:docPartObj>
    </w:sdtPr>
    <w:sdtContent>
      <w:p w14:paraId="7309DBEB">
        <w:pPr>
          <w:pStyle w:val="2"/>
          <w:jc w:val="center"/>
        </w:pPr>
        <w:r>
          <w:fldChar w:fldCharType="begin"/>
        </w:r>
        <w:r>
          <w:instrText xml:space="preserve">PAGE   \* MERGEFORMAT</w:instrText>
        </w:r>
        <w:r>
          <w:fldChar w:fldCharType="separate"/>
        </w:r>
        <w:r>
          <w:rPr>
            <w:lang w:val="zh-CN"/>
          </w:rPr>
          <w:t>5</w:t>
        </w:r>
        <w:r>
          <w:fldChar w:fldCharType="end"/>
        </w:r>
      </w:p>
    </w:sdtContent>
  </w:sdt>
  <w:p w14:paraId="54579050">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56B65"/>
    <w:multiLevelType w:val="singleLevel"/>
    <w:tmpl w:val="CC756B65"/>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8520B"/>
    <w:rsid w:val="004467C4"/>
    <w:rsid w:val="00473034"/>
    <w:rsid w:val="004A0FE0"/>
    <w:rsid w:val="00507E4D"/>
    <w:rsid w:val="00766AA4"/>
    <w:rsid w:val="00871156"/>
    <w:rsid w:val="009A1BAF"/>
    <w:rsid w:val="00A77C7F"/>
    <w:rsid w:val="00A86177"/>
    <w:rsid w:val="00B53734"/>
    <w:rsid w:val="00BC01B7"/>
    <w:rsid w:val="00D24581"/>
    <w:rsid w:val="00E10206"/>
    <w:rsid w:val="00E27FF9"/>
    <w:rsid w:val="03373831"/>
    <w:rsid w:val="037405E1"/>
    <w:rsid w:val="05C23886"/>
    <w:rsid w:val="0B2C354F"/>
    <w:rsid w:val="0E6E6FD5"/>
    <w:rsid w:val="0FDA17CC"/>
    <w:rsid w:val="10057298"/>
    <w:rsid w:val="112C24FB"/>
    <w:rsid w:val="147A17CF"/>
    <w:rsid w:val="15EC04AB"/>
    <w:rsid w:val="162353CA"/>
    <w:rsid w:val="1BE25706"/>
    <w:rsid w:val="21787096"/>
    <w:rsid w:val="23A61C99"/>
    <w:rsid w:val="2D1F486A"/>
    <w:rsid w:val="2EA65243"/>
    <w:rsid w:val="38325D99"/>
    <w:rsid w:val="39036C75"/>
    <w:rsid w:val="392518F3"/>
    <w:rsid w:val="3AA21B3D"/>
    <w:rsid w:val="3B5E1F75"/>
    <w:rsid w:val="3BF98C33"/>
    <w:rsid w:val="3C797AF3"/>
    <w:rsid w:val="3C9506A5"/>
    <w:rsid w:val="3CCF1E09"/>
    <w:rsid w:val="3E6C1AD4"/>
    <w:rsid w:val="3F2413A7"/>
    <w:rsid w:val="41C22DC6"/>
    <w:rsid w:val="436F1315"/>
    <w:rsid w:val="44663053"/>
    <w:rsid w:val="47342F26"/>
    <w:rsid w:val="47423041"/>
    <w:rsid w:val="47B6609F"/>
    <w:rsid w:val="4BA821A3"/>
    <w:rsid w:val="4F0D7A56"/>
    <w:rsid w:val="4F852329"/>
    <w:rsid w:val="572A6162"/>
    <w:rsid w:val="5748520B"/>
    <w:rsid w:val="57B91294"/>
    <w:rsid w:val="58E34992"/>
    <w:rsid w:val="5E4663EE"/>
    <w:rsid w:val="5FF1698D"/>
    <w:rsid w:val="626062C4"/>
    <w:rsid w:val="633D2BD8"/>
    <w:rsid w:val="643C74D4"/>
    <w:rsid w:val="6B9D486E"/>
    <w:rsid w:val="6C375151"/>
    <w:rsid w:val="6C9F6852"/>
    <w:rsid w:val="722C7C1F"/>
    <w:rsid w:val="732B0E40"/>
    <w:rsid w:val="76C515AB"/>
    <w:rsid w:val="79654980"/>
    <w:rsid w:val="7EF35C81"/>
    <w:rsid w:val="7FFF221E"/>
    <w:rsid w:val="ABFFDA32"/>
    <w:rsid w:val="BFC39BA1"/>
    <w:rsid w:val="DFB71770"/>
    <w:rsid w:val="EDFD86D5"/>
    <w:rsid w:val="FEB76F72"/>
    <w:rsid w:val="FEFBC629"/>
    <w:rsid w:val="FF736261"/>
    <w:rsid w:val="FF8F5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0"/>
    <w:rPr>
      <w:i/>
    </w:rPr>
  </w:style>
  <w:style w:type="character" w:styleId="7">
    <w:name w:val="annotation reference"/>
    <w:basedOn w:val="5"/>
    <w:qFormat/>
    <w:uiPriority w:val="0"/>
    <w:rPr>
      <w:sz w:val="21"/>
      <w:szCs w:val="21"/>
    </w:rPr>
  </w:style>
  <w:style w:type="paragraph" w:customStyle="1" w:styleId="8">
    <w:name w:val="列表段落1"/>
    <w:basedOn w:val="1"/>
    <w:qFormat/>
    <w:uiPriority w:val="99"/>
    <w:pPr>
      <w:ind w:firstLine="420" w:firstLineChars="200"/>
    </w:p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
    <w:name w:val="页眉 字符"/>
    <w:basedOn w:val="5"/>
    <w:link w:val="3"/>
    <w:qFormat/>
    <w:uiPriority w:val="0"/>
    <w:rPr>
      <w:rFonts w:ascii="等线" w:hAnsi="等线" w:eastAsia="等线"/>
      <w:kern w:val="2"/>
      <w:sz w:val="18"/>
      <w:szCs w:val="18"/>
    </w:rPr>
  </w:style>
  <w:style w:type="character" w:customStyle="1" w:styleId="11">
    <w:name w:val="页脚 字符"/>
    <w:basedOn w:val="5"/>
    <w:link w:val="2"/>
    <w:qFormat/>
    <w:uiPriority w:val="99"/>
    <w:rPr>
      <w:rFonts w:ascii="等线" w:hAnsi="等线" w:eastAsia="等线"/>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2219</Words>
  <Characters>2240</Characters>
  <Lines>15</Lines>
  <Paragraphs>4</Paragraphs>
  <TotalTime>21</TotalTime>
  <ScaleCrop>false</ScaleCrop>
  <LinksUpToDate>false</LinksUpToDate>
  <CharactersWithSpaces>2255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2026-07-14T22:31:00Z</dcterms:created>
  <dc:creator>我</dc:creator>
  <cp:lastModifiedBy>user</cp:lastModifiedBy>
  <dcterms:modified xsi:type="dcterms:W3CDTF">2026-07-27T14:55:26Z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17F950A13DE54A018E2CDF486C386A97_13</vt:lpwstr>
  </property>
  <property fmtid="{D5CDD505-2E9C-101B-9397-08002B2CF9AE}" pid="4" name="KSOTemplateDocerSaveRecord">
    <vt:lpwstr>eyJoZGlkIjoiOTYxMzAyY2VhOTVlZTE1OTVkMzJlMmIyNGUyYmRiZjgiLCJ1c2VySWQiOiIzNDYzMjAzNzkifQ==</vt:lpwstr>
  </property>
</Properties>
</file>