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2F1FC">
      <w:pPr>
        <w:pStyle w:val="10"/>
        <w:rPr>
          <w:rFonts w:hint="eastAsia" w:ascii="黑体" w:eastAsia="黑体" w:cs="方正黑体_GBK"/>
          <w:sz w:val="32"/>
          <w:szCs w:val="32"/>
          <w:lang w:val="en-US" w:eastAsia="zh-CN"/>
        </w:rPr>
      </w:pPr>
      <w:r>
        <w:rPr>
          <w:rFonts w:hint="eastAsia" w:ascii="黑体" w:eastAsia="黑体" w:cs="方正黑体_GBK"/>
          <w:sz w:val="32"/>
          <w:szCs w:val="32"/>
        </w:rPr>
        <w:t>附件</w:t>
      </w:r>
      <w:r>
        <w:rPr>
          <w:rFonts w:hint="eastAsia" w:ascii="黑体" w:eastAsia="黑体" w:cs="方正黑体_GBK"/>
          <w:sz w:val="32"/>
          <w:szCs w:val="32"/>
          <w:lang w:val="en-US" w:eastAsia="zh-CN"/>
        </w:rPr>
        <w:t>2</w:t>
      </w:r>
    </w:p>
    <w:p w14:paraId="2598D907">
      <w:pPr>
        <w:spacing w:line="560" w:lineRule="exact"/>
        <w:jc w:val="left"/>
        <w:rPr>
          <w:rFonts w:ascii="方正小标宋_GBK" w:hAnsi="方正小标宋简体" w:eastAsia="方正小标宋_GBK" w:cs="方正小标宋简体"/>
          <w:sz w:val="44"/>
          <w:szCs w:val="44"/>
        </w:rPr>
      </w:pPr>
    </w:p>
    <w:p w14:paraId="1FE48BC5">
      <w:pPr>
        <w:spacing w:line="560" w:lineRule="exact"/>
        <w:jc w:val="center"/>
        <w:outlineLvl w:val="0"/>
        <w:rPr>
          <w:rFonts w:hint="eastAsia" w:ascii="仿宋_GB2312" w:eastAsia="方正小标宋简体"/>
          <w:sz w:val="32"/>
          <w:szCs w:val="32"/>
          <w:lang w:eastAsia="zh-CN"/>
        </w:rPr>
      </w:pPr>
      <w:r>
        <w:rPr>
          <w:rFonts w:hint="eastAsia" w:ascii="方正小标宋简体" w:hAnsi="方正小标宋简体" w:eastAsia="方正小标宋简体" w:cs="仿宋_GB2312"/>
          <w:sz w:val="44"/>
          <w:szCs w:val="44"/>
        </w:rPr>
        <w:t>关于《北京市高新技术产业开发区认定与管理办法（试行）》的起草</w:t>
      </w:r>
      <w:r>
        <w:rPr>
          <w:rFonts w:hint="eastAsia" w:ascii="方正小标宋简体" w:hAnsi="方正小标宋简体" w:eastAsia="方正小标宋简体" w:cs="仿宋_GB2312"/>
          <w:sz w:val="44"/>
          <w:szCs w:val="44"/>
          <w:lang w:eastAsia="zh-CN"/>
        </w:rPr>
        <w:t>说明</w:t>
      </w:r>
    </w:p>
    <w:p w14:paraId="210E59C7">
      <w:pPr>
        <w:spacing w:line="560" w:lineRule="exact"/>
        <w:ind w:firstLine="640" w:firstLineChars="200"/>
        <w:rPr>
          <w:rFonts w:ascii="仿宋_GB2312" w:eastAsia="仿宋_GB2312"/>
          <w:sz w:val="32"/>
          <w:szCs w:val="32"/>
        </w:rPr>
      </w:pPr>
    </w:p>
    <w:p w14:paraId="517D7A93">
      <w:pPr>
        <w:spacing w:line="560" w:lineRule="exact"/>
        <w:ind w:firstLine="640" w:firstLineChars="200"/>
        <w:rPr>
          <w:rFonts w:ascii="仿宋_GB2312" w:eastAsia="仿宋_GB2312"/>
          <w:sz w:val="32"/>
          <w:szCs w:val="32"/>
        </w:rPr>
      </w:pPr>
      <w:r>
        <w:rPr>
          <w:rFonts w:hint="eastAsia" w:ascii="仿宋_GB2312" w:eastAsia="仿宋_GB2312"/>
          <w:sz w:val="32"/>
          <w:szCs w:val="32"/>
        </w:rPr>
        <w:t>为落实</w:t>
      </w:r>
      <w:r>
        <w:rPr>
          <w:rFonts w:hint="eastAsia" w:ascii="仿宋_GB2312" w:eastAsia="仿宋_GB2312"/>
          <w:sz w:val="32"/>
          <w:szCs w:val="32"/>
          <w:lang w:eastAsia="zh-CN"/>
        </w:rPr>
        <w:t>市领导</w:t>
      </w:r>
      <w:r>
        <w:rPr>
          <w:rFonts w:hint="eastAsia" w:ascii="仿宋_GB2312" w:eastAsia="仿宋_GB2312"/>
          <w:sz w:val="32"/>
          <w:szCs w:val="32"/>
        </w:rPr>
        <w:t>关于“建立园区动态调整和优胜劣汰机制”的指示要求，</w:t>
      </w:r>
      <w:r>
        <w:rPr>
          <w:rFonts w:hint="eastAsia" w:ascii="仿宋_GB2312" w:hAnsi="仿宋_GB2312" w:eastAsia="仿宋_GB2312" w:cs="仿宋_GB2312"/>
          <w:sz w:val="32"/>
          <w:szCs w:val="32"/>
        </w:rPr>
        <w:t>更好支撑北京国际科技创新中心和中关村世界领先科技园区建设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支持各区因地制宜发展新质生产力，</w:t>
      </w:r>
      <w:r>
        <w:rPr>
          <w:rFonts w:hint="eastAsia" w:ascii="仿宋_GB2312" w:eastAsia="仿宋_GB2312"/>
          <w:sz w:val="32"/>
          <w:szCs w:val="32"/>
        </w:rPr>
        <w:t>我</w:t>
      </w:r>
      <w:r>
        <w:rPr>
          <w:rFonts w:hint="eastAsia" w:ascii="仿宋_GB2312" w:eastAsia="仿宋_GB2312"/>
          <w:sz w:val="32"/>
          <w:szCs w:val="32"/>
          <w:lang w:eastAsia="zh-CN"/>
        </w:rPr>
        <w:t>委</w:t>
      </w:r>
      <w:r>
        <w:rPr>
          <w:rFonts w:hint="eastAsia" w:ascii="仿宋_GB2312" w:eastAsia="仿宋_GB2312"/>
          <w:sz w:val="32"/>
          <w:szCs w:val="32"/>
        </w:rPr>
        <w:t>认真研究国家有关政策及外省市高新区做法，拟推动设立北京市高新技术产业开发区，并研究形成了《北京市高新技术产业开发区认定与管理办法（试行）</w:t>
      </w:r>
      <w:r>
        <w:rPr>
          <w:rFonts w:hint="eastAsia" w:ascii="仿宋_GB2312" w:eastAsia="仿宋_GB2312"/>
          <w:sz w:val="32"/>
          <w:szCs w:val="32"/>
          <w:lang w:eastAsia="zh-CN"/>
        </w:rPr>
        <w:t>（征求意见稿）</w:t>
      </w:r>
      <w:r>
        <w:rPr>
          <w:rFonts w:hint="eastAsia" w:ascii="仿宋_GB2312" w:eastAsia="仿宋_GB2312"/>
          <w:sz w:val="32"/>
          <w:szCs w:val="32"/>
        </w:rPr>
        <w:t>》。现将有关情况</w:t>
      </w:r>
      <w:r>
        <w:rPr>
          <w:rFonts w:hint="eastAsia" w:ascii="仿宋_GB2312" w:eastAsia="仿宋_GB2312"/>
          <w:sz w:val="32"/>
          <w:szCs w:val="32"/>
          <w:lang w:eastAsia="zh-CN"/>
        </w:rPr>
        <w:t>说明</w:t>
      </w:r>
      <w:r>
        <w:rPr>
          <w:rFonts w:hint="eastAsia" w:ascii="仿宋_GB2312" w:eastAsia="仿宋_GB2312"/>
          <w:sz w:val="32"/>
          <w:szCs w:val="32"/>
        </w:rPr>
        <w:t>如下。</w:t>
      </w:r>
    </w:p>
    <w:p w14:paraId="1D3B4C00">
      <w:pPr>
        <w:adjustRightInd w:val="0"/>
        <w:snapToGrid w:val="0"/>
        <w:spacing w:line="560" w:lineRule="exact"/>
        <w:ind w:firstLine="640" w:firstLineChars="200"/>
        <w:outlineLvl w:val="0"/>
        <w:rPr>
          <w:rFonts w:ascii="黑体" w:hAnsi="黑体" w:eastAsia="黑体" w:cs="黑体"/>
          <w:color w:val="000000"/>
          <w:sz w:val="32"/>
          <w:szCs w:val="32"/>
        </w:rPr>
      </w:pPr>
      <w:r>
        <w:rPr>
          <w:rFonts w:hint="eastAsia" w:ascii="黑体" w:hAnsi="黑体" w:eastAsia="黑体" w:cs="黑体"/>
          <w:color w:val="000000"/>
          <w:sz w:val="32"/>
          <w:szCs w:val="32"/>
        </w:rPr>
        <w:t>一、起草背景</w:t>
      </w:r>
    </w:p>
    <w:p w14:paraId="74AB241C">
      <w:pPr>
        <w:spacing w:line="560" w:lineRule="exact"/>
        <w:ind w:firstLine="640"/>
        <w:rPr>
          <w:rFonts w:ascii="仿宋_GB2312" w:eastAsia="仿宋_GB2312" w:cs="仿宋_GB2312"/>
          <w:sz w:val="32"/>
          <w:szCs w:val="32"/>
        </w:rPr>
      </w:pPr>
      <w:r>
        <w:rPr>
          <w:rFonts w:hint="eastAsia" w:ascii="仿宋_GB2312" w:eastAsia="仿宋_GB2312" w:cs="仿宋_GB2312"/>
          <w:b/>
          <w:bCs/>
          <w:sz w:val="32"/>
          <w:szCs w:val="32"/>
        </w:rPr>
        <w:t>一是</w:t>
      </w:r>
      <w:r>
        <w:rPr>
          <w:rFonts w:hint="eastAsia" w:ascii="仿宋_GB2312" w:eastAsia="仿宋_GB2312" w:cs="仿宋_GB2312"/>
          <w:sz w:val="32"/>
          <w:szCs w:val="32"/>
        </w:rPr>
        <w:t>国家层面对高新区管理提出新要求。党的二十届三中全会提出“深化开发区管理制度改革”“开展各类产业园区用地专项治理”。《国务院关于促进国家高新技术产业开发区高质量发展的若干意见》提出“建立分类评价机制，实行动态管理，营造公开、公正、透明和有利于促进优胜劣汰的发展环境”。中办、国办关于深化开发区管理体制改革推动开发区高质量发展的意见中提出“支持开发区整合提升，鼓励具有较强实力的国家级开发区瞄准世界科技和产业前沿，打造世界一流园区”。同时，今年8月份，</w:t>
      </w:r>
      <w:r>
        <w:rPr>
          <w:rFonts w:hint="eastAsia" w:ascii="仿宋_GB2312" w:eastAsia="仿宋_GB2312" w:cs="仿宋_GB2312"/>
          <w:bCs/>
          <w:sz w:val="32"/>
          <w:szCs w:val="32"/>
        </w:rPr>
        <w:t>国家启动</w:t>
      </w:r>
      <w:r>
        <w:rPr>
          <w:rFonts w:hint="eastAsia" w:ascii="仿宋_GB2312" w:eastAsia="仿宋_GB2312" w:cs="仿宋_GB2312"/>
          <w:sz w:val="32"/>
          <w:szCs w:val="32"/>
        </w:rPr>
        <w:t>新一轮开发区目录修订工作，要求</w:t>
      </w:r>
      <w:r>
        <w:rPr>
          <w:rFonts w:hint="eastAsia" w:ascii="仿宋_GB2312" w:eastAsia="仿宋_GB2312" w:cs="仿宋_GB2312"/>
          <w:sz w:val="32"/>
          <w:szCs w:val="32"/>
          <w:lang w:eastAsia="zh-CN"/>
        </w:rPr>
        <w:t>于</w:t>
      </w:r>
      <w:r>
        <w:rPr>
          <w:rFonts w:hint="eastAsia" w:ascii="仿宋_GB2312" w:eastAsia="仿宋_GB2312" w:cs="仿宋_GB2312"/>
          <w:sz w:val="32"/>
          <w:szCs w:val="32"/>
        </w:rPr>
        <w:t>2025年2月28日同步报送国家级和省级开发区，我市亟需对各级开发区进行统筹优化和整合调整。</w:t>
      </w:r>
    </w:p>
    <w:p w14:paraId="08733627">
      <w:pPr>
        <w:spacing w:line="560" w:lineRule="exact"/>
        <w:ind w:firstLine="640"/>
        <w:rPr>
          <w:rFonts w:ascii="仿宋_GB2312" w:eastAsia="仿宋_GB2312" w:cs="仿宋_GB2312"/>
          <w:sz w:val="32"/>
          <w:szCs w:val="32"/>
        </w:rPr>
      </w:pPr>
      <w:r>
        <w:rPr>
          <w:rFonts w:hint="eastAsia" w:ascii="仿宋_GB2312" w:eastAsia="仿宋_GB2312" w:cs="仿宋_GB2312"/>
          <w:b/>
          <w:bCs/>
          <w:sz w:val="32"/>
          <w:szCs w:val="32"/>
        </w:rPr>
        <w:t>二是</w:t>
      </w:r>
      <w:r>
        <w:rPr>
          <w:rFonts w:hint="eastAsia" w:ascii="仿宋_GB2312" w:eastAsia="仿宋_GB2312" w:cs="仿宋_GB2312"/>
          <w:sz w:val="32"/>
          <w:szCs w:val="32"/>
        </w:rPr>
        <w:t>市委</w:t>
      </w:r>
      <w:r>
        <w:rPr>
          <w:rFonts w:hint="eastAsia" w:ascii="仿宋_GB2312" w:eastAsia="仿宋_GB2312" w:cs="仿宋_GB2312"/>
          <w:sz w:val="32"/>
          <w:szCs w:val="32"/>
          <w:lang w:eastAsia="zh-CN"/>
        </w:rPr>
        <w:t>、</w:t>
      </w:r>
      <w:r>
        <w:rPr>
          <w:rFonts w:hint="eastAsia" w:ascii="仿宋_GB2312" w:eastAsia="仿宋_GB2312" w:cs="仿宋_GB2312"/>
          <w:sz w:val="32"/>
          <w:szCs w:val="32"/>
        </w:rPr>
        <w:t>市政府高度重视中关村空间范围动态调整与优胜劣汰机制建立工作。《北京国际</w:t>
      </w:r>
      <w:r>
        <w:rPr>
          <w:rFonts w:hint="eastAsia" w:ascii="仿宋_GB2312" w:eastAsia="仿宋_GB2312" w:cs="仿宋_GB2312"/>
          <w:sz w:val="32"/>
          <w:szCs w:val="32"/>
          <w:lang w:val="en-US" w:eastAsia="zh-CN"/>
        </w:rPr>
        <w:t>科技创</w:t>
      </w:r>
      <w:bookmarkStart w:id="0" w:name="_GoBack"/>
      <w:bookmarkEnd w:id="0"/>
      <w:r>
        <w:rPr>
          <w:rFonts w:hint="eastAsia" w:ascii="仿宋_GB2312" w:eastAsia="仿宋_GB2312" w:cs="仿宋_GB2312"/>
          <w:sz w:val="32"/>
          <w:szCs w:val="32"/>
          <w:lang w:val="en-US" w:eastAsia="zh-CN"/>
        </w:rPr>
        <w:t>新</w:t>
      </w:r>
      <w:r>
        <w:rPr>
          <w:rFonts w:hint="eastAsia" w:ascii="仿宋_GB2312" w:eastAsia="仿宋_GB2312" w:cs="仿宋_GB2312"/>
          <w:sz w:val="32"/>
          <w:szCs w:val="32"/>
        </w:rPr>
        <w:t>中心建设条例》要求“推动空间范围动态调整，促进园区高端化、特色化、协同化发展”。2024年市政府工作报告中明确提出“推进中关村空间布局优化调整”。殷勇市长多次强调“抓紧建立不达标园区摘牌退出等淘汰机制，实现优胜劣汰”。</w:t>
      </w:r>
    </w:p>
    <w:p w14:paraId="1E3DF8C6">
      <w:pPr>
        <w:spacing w:line="560" w:lineRule="exact"/>
        <w:ind w:firstLine="640"/>
        <w:rPr>
          <w:rFonts w:ascii="仿宋_GB2312" w:eastAsia="仿宋_GB2312" w:cs="仿宋_GB2312"/>
          <w:sz w:val="32"/>
          <w:szCs w:val="32"/>
        </w:rPr>
      </w:pPr>
      <w:r>
        <w:rPr>
          <w:rFonts w:hint="eastAsia" w:ascii="仿宋_GB2312" w:eastAsia="仿宋_GB2312" w:cs="仿宋_GB2312"/>
          <w:b/>
          <w:bCs/>
          <w:sz w:val="32"/>
          <w:szCs w:val="32"/>
        </w:rPr>
        <w:t>三是</w:t>
      </w:r>
      <w:r>
        <w:rPr>
          <w:rFonts w:hint="eastAsia" w:ascii="仿宋_GB2312" w:eastAsia="仿宋_GB2312" w:cs="仿宋_GB2312"/>
          <w:sz w:val="32"/>
          <w:szCs w:val="32"/>
        </w:rPr>
        <w:t>满足各区推动发展建设的迫切需求。在本次中关村示范区空间调整过程中，仍有部分分园的潜力区块未纳入调整范围。根据《北京市新增产业的禁止和限制目录（2022年版）》，生态涵养区需纳入市级以上开发区，才可新增和扩建生产性制造业项目，怀柔园、昌平园、门头沟园等分园存在项目落地的需求。</w:t>
      </w:r>
    </w:p>
    <w:p w14:paraId="07347B7B">
      <w:pPr>
        <w:adjustRightInd w:val="0"/>
        <w:snapToGrid w:val="0"/>
        <w:spacing w:line="560" w:lineRule="exact"/>
        <w:ind w:firstLine="640" w:firstLineChars="200"/>
        <w:outlineLvl w:val="0"/>
        <w:rPr>
          <w:rFonts w:ascii="黑体" w:hAnsi="黑体" w:eastAsia="黑体" w:cs="黑体"/>
          <w:color w:val="000000"/>
          <w:sz w:val="32"/>
          <w:szCs w:val="32"/>
        </w:rPr>
      </w:pPr>
      <w:r>
        <w:rPr>
          <w:rFonts w:hint="eastAsia" w:ascii="黑体" w:hAnsi="黑体" w:eastAsia="黑体" w:cs="黑体"/>
          <w:color w:val="000000"/>
          <w:sz w:val="32"/>
          <w:szCs w:val="32"/>
        </w:rPr>
        <w:t>二、总体考虑与思路</w:t>
      </w:r>
    </w:p>
    <w:p w14:paraId="06764D0F">
      <w:pPr>
        <w:spacing w:line="560" w:lineRule="exact"/>
        <w:ind w:firstLine="640"/>
        <w:rPr>
          <w:rFonts w:ascii="仿宋_GB2312" w:eastAsia="仿宋_GB2312" w:cs="仿宋_GB2312"/>
          <w:color w:val="000000"/>
          <w:sz w:val="32"/>
          <w:szCs w:val="32"/>
        </w:rPr>
      </w:pPr>
      <w:r>
        <w:rPr>
          <w:rFonts w:hint="eastAsia" w:ascii="仿宋_GB2312" w:eastAsia="仿宋_GB2312" w:cs="仿宋_GB2312"/>
          <w:b/>
          <w:bCs/>
          <w:color w:val="000000"/>
          <w:sz w:val="32"/>
          <w:szCs w:val="32"/>
        </w:rPr>
        <w:t>一是健全体系、梯度发展。</w:t>
      </w:r>
      <w:r>
        <w:rPr>
          <w:rFonts w:hint="eastAsia" w:ascii="仿宋_GB2312" w:eastAsia="仿宋_GB2312" w:cs="仿宋_GB2312"/>
          <w:color w:val="000000"/>
          <w:sz w:val="32"/>
          <w:szCs w:val="32"/>
        </w:rPr>
        <w:t>建立国家级、市级高新区两级开发区体系，</w:t>
      </w:r>
      <w:r>
        <w:rPr>
          <w:rFonts w:hint="eastAsia" w:ascii="仿宋_GB2312" w:eastAsia="仿宋_GB2312" w:cs="仿宋_GB2312"/>
          <w:bCs/>
          <w:color w:val="000000"/>
          <w:sz w:val="32"/>
          <w:szCs w:val="32"/>
        </w:rPr>
        <w:t>构建中关村园区梯度发展格局</w:t>
      </w:r>
      <w:r>
        <w:rPr>
          <w:rFonts w:hint="eastAsia" w:ascii="仿宋_GB2312" w:eastAsia="仿宋_GB2312" w:cs="仿宋_GB2312"/>
          <w:color w:val="000000"/>
          <w:sz w:val="32"/>
          <w:szCs w:val="32"/>
        </w:rPr>
        <w:t>。其中国家级高新区对标世界领先科技园区建设的目标要求，做好示范引领作用。市级高新区积极发挥对区域经济社会发展的带动作用，当好国家级高新区的“蓄水池”，推动产业发展和创新创业提质增效。</w:t>
      </w:r>
    </w:p>
    <w:p w14:paraId="42503C18">
      <w:pPr>
        <w:spacing w:line="560" w:lineRule="exact"/>
        <w:ind w:firstLine="640"/>
        <w:rPr>
          <w:rFonts w:ascii="仿宋_GB2312" w:eastAsia="仿宋_GB2312" w:cs="仿宋_GB2312"/>
          <w:bCs/>
          <w:color w:val="000000"/>
          <w:sz w:val="32"/>
          <w:szCs w:val="32"/>
        </w:rPr>
      </w:pPr>
      <w:r>
        <w:rPr>
          <w:rFonts w:hint="eastAsia" w:ascii="仿宋_GB2312" w:eastAsia="仿宋_GB2312" w:cs="仿宋_GB2312"/>
          <w:b/>
          <w:bCs/>
          <w:color w:val="000000"/>
          <w:sz w:val="32"/>
          <w:szCs w:val="32"/>
        </w:rPr>
        <w:t>二是着眼未来、加强储备。</w:t>
      </w:r>
      <w:r>
        <w:rPr>
          <w:rFonts w:hint="eastAsia" w:ascii="仿宋_GB2312" w:eastAsia="仿宋_GB2312" w:cs="仿宋_GB2312"/>
          <w:color w:val="000000"/>
          <w:sz w:val="32"/>
          <w:szCs w:val="32"/>
        </w:rPr>
        <w:t>综合考虑现阶段我市产业发展需要，以及未来5—10年产业发展需求，将</w:t>
      </w:r>
      <w:r>
        <w:rPr>
          <w:rFonts w:hint="eastAsia" w:ascii="仿宋_GB2312" w:eastAsia="仿宋_GB2312" w:cs="仿宋_GB2312"/>
          <w:bCs/>
          <w:color w:val="000000"/>
          <w:sz w:val="32"/>
          <w:szCs w:val="32"/>
        </w:rPr>
        <w:t>具有发展意向和发展潜力，</w:t>
      </w:r>
      <w:r>
        <w:rPr>
          <w:rFonts w:hint="eastAsia" w:ascii="仿宋_GB2312" w:eastAsia="仿宋_GB2312" w:cs="仿宋_GB2312"/>
          <w:color w:val="000000"/>
          <w:sz w:val="32"/>
          <w:szCs w:val="32"/>
        </w:rPr>
        <w:t>但尚</w:t>
      </w:r>
      <w:r>
        <w:rPr>
          <w:rFonts w:hint="eastAsia" w:ascii="仿宋_GB2312" w:eastAsia="仿宋_GB2312" w:cs="仿宋_GB2312"/>
          <w:bCs/>
          <w:color w:val="000000"/>
          <w:sz w:val="32"/>
          <w:szCs w:val="32"/>
        </w:rPr>
        <w:t>不具备纳入国家级高新区标准的空间纳入市级高新区管理体系，扩大产业发展、项目落地等政策覆盖范围，为发展高精尖产业、培育新质生产力提供充足空间储备</w:t>
      </w:r>
      <w:r>
        <w:rPr>
          <w:rFonts w:hint="eastAsia" w:ascii="仿宋_GB2312" w:eastAsia="仿宋_GB2312" w:cs="仿宋_GB2312"/>
          <w:color w:val="000000"/>
          <w:sz w:val="32"/>
          <w:szCs w:val="32"/>
        </w:rPr>
        <w:t>，为各区产业发展和园区建设提供空间保障</w:t>
      </w:r>
      <w:r>
        <w:rPr>
          <w:rFonts w:hint="eastAsia" w:ascii="仿宋_GB2312" w:eastAsia="仿宋_GB2312" w:cs="仿宋_GB2312"/>
          <w:sz w:val="32"/>
          <w:szCs w:val="32"/>
        </w:rPr>
        <w:t>。</w:t>
      </w:r>
    </w:p>
    <w:p w14:paraId="6116E569">
      <w:pPr>
        <w:spacing w:line="560" w:lineRule="exact"/>
        <w:ind w:firstLine="640"/>
        <w:rPr>
          <w:rFonts w:ascii="仿宋_GB2312" w:eastAsia="仿宋_GB2312" w:cs="仿宋_GB2312"/>
          <w:color w:val="000000"/>
          <w:sz w:val="32"/>
          <w:szCs w:val="32"/>
        </w:rPr>
      </w:pPr>
      <w:r>
        <w:rPr>
          <w:rFonts w:hint="eastAsia" w:ascii="仿宋_GB2312" w:eastAsia="仿宋_GB2312" w:cs="仿宋_GB2312"/>
          <w:b/>
          <w:bCs/>
          <w:color w:val="000000"/>
          <w:sz w:val="32"/>
          <w:szCs w:val="32"/>
        </w:rPr>
        <w:t>三是优胜劣汰、动态调整</w:t>
      </w:r>
      <w:r>
        <w:rPr>
          <w:rFonts w:hint="eastAsia" w:ascii="仿宋_GB2312" w:eastAsia="仿宋_GB2312" w:cs="仿宋_GB2312"/>
          <w:bCs/>
          <w:color w:val="000000"/>
          <w:sz w:val="32"/>
          <w:szCs w:val="32"/>
        </w:rPr>
        <w:t>。建立市级高新区考核评价和动态调整机制，</w:t>
      </w:r>
      <w:r>
        <w:rPr>
          <w:rFonts w:hint="eastAsia" w:ascii="仿宋_GB2312" w:eastAsia="仿宋_GB2312" w:cs="仿宋_GB2312"/>
          <w:color w:val="000000"/>
          <w:sz w:val="32"/>
          <w:szCs w:val="32"/>
        </w:rPr>
        <w:t>将市级高新区纳入中关村示范区分园创新发展综合评价体系，与国家级高新区同步考核、同步评价。分类设置动态调整标准，依据考核结果淘汰不符合高质量发展的导向和要求的区块，并根据工作需要纳入符合条件的区块，促进市级高新区规范、有序、健康发展。</w:t>
      </w:r>
    </w:p>
    <w:p w14:paraId="2F339CDD">
      <w:pPr>
        <w:adjustRightInd w:val="0"/>
        <w:snapToGrid w:val="0"/>
        <w:spacing w:line="560" w:lineRule="exact"/>
        <w:ind w:firstLine="640" w:firstLineChars="200"/>
        <w:outlineLvl w:val="0"/>
        <w:rPr>
          <w:rFonts w:ascii="黑体" w:hAnsi="黑体" w:eastAsia="黑体" w:cs="黑体"/>
          <w:color w:val="000000"/>
          <w:sz w:val="32"/>
          <w:szCs w:val="32"/>
        </w:rPr>
      </w:pPr>
      <w:r>
        <w:rPr>
          <w:rFonts w:hint="eastAsia" w:ascii="黑体" w:hAnsi="黑体" w:eastAsia="黑体" w:cs="黑体"/>
          <w:color w:val="000000"/>
          <w:sz w:val="32"/>
          <w:szCs w:val="32"/>
        </w:rPr>
        <w:t>三、已开展的工作</w:t>
      </w:r>
    </w:p>
    <w:p w14:paraId="07487158">
      <w:pPr>
        <w:suppressAutoHyphens/>
        <w:spacing w:line="560" w:lineRule="exact"/>
        <w:ind w:firstLine="643" w:firstLineChars="200"/>
        <w:rPr>
          <w:rFonts w:ascii="仿宋_GB2312" w:eastAsia="仿宋_GB2312" w:cs="仿宋_GB2312"/>
          <w:color w:val="000000"/>
          <w:sz w:val="32"/>
          <w:szCs w:val="32"/>
        </w:rPr>
      </w:pPr>
      <w:r>
        <w:rPr>
          <w:rFonts w:hint="eastAsia" w:ascii="仿宋_GB2312" w:eastAsia="仿宋_GB2312" w:cs="仿宋_GB2312"/>
          <w:b/>
          <w:bCs/>
          <w:color w:val="000000"/>
          <w:sz w:val="32"/>
          <w:szCs w:val="32"/>
        </w:rPr>
        <w:t>一是</w:t>
      </w:r>
      <w:r>
        <w:rPr>
          <w:rFonts w:hint="eastAsia" w:ascii="仿宋_GB2312" w:eastAsia="仿宋_GB2312" w:cs="仿宋_GB2312"/>
          <w:color w:val="000000"/>
          <w:sz w:val="32"/>
          <w:szCs w:val="32"/>
        </w:rPr>
        <w:t>研究国家层面对国家高新区、国家级经开区等各类开发区的政策导向，特别是党的二十届三中全会关于“深化开发区管理制度改革”的重要表述，为设立市级高新区提供遵循和依据。</w:t>
      </w:r>
    </w:p>
    <w:p w14:paraId="248B371E">
      <w:pPr>
        <w:suppressAutoHyphens/>
        <w:spacing w:line="560" w:lineRule="exact"/>
        <w:ind w:firstLine="643" w:firstLineChars="200"/>
        <w:rPr>
          <w:rFonts w:ascii="仿宋_GB2312" w:eastAsia="仿宋_GB2312" w:cs="仿宋_GB2312"/>
          <w:color w:val="000000"/>
          <w:sz w:val="32"/>
          <w:szCs w:val="32"/>
        </w:rPr>
      </w:pPr>
      <w:r>
        <w:rPr>
          <w:rFonts w:hint="eastAsia" w:ascii="仿宋_GB2312" w:eastAsia="仿宋_GB2312" w:cs="仿宋_GB2312"/>
          <w:b/>
          <w:bCs/>
          <w:color w:val="000000"/>
          <w:sz w:val="32"/>
          <w:szCs w:val="32"/>
        </w:rPr>
        <w:t>二是</w:t>
      </w:r>
      <w:r>
        <w:rPr>
          <w:rFonts w:hint="eastAsia" w:ascii="仿宋_GB2312" w:eastAsia="仿宋_GB2312" w:cs="仿宋_GB2312"/>
          <w:color w:val="000000"/>
          <w:sz w:val="32"/>
          <w:szCs w:val="32"/>
        </w:rPr>
        <w:t>选择上海、广东、浙江、江苏、湖北等区域，研究分析其在省级高新区管理方面的主要做法，重点关注顶层设计、申报认定、日常管理、政策支持、考核评价等方面的内容，凝练先进区域的共性特征和个性化经验。</w:t>
      </w:r>
    </w:p>
    <w:p w14:paraId="45DBBDB3">
      <w:pPr>
        <w:suppressAutoHyphens/>
        <w:spacing w:line="560" w:lineRule="exact"/>
        <w:ind w:firstLine="643" w:firstLineChars="200"/>
        <w:rPr>
          <w:rFonts w:ascii="仿宋_GB2312" w:eastAsia="仿宋_GB2312" w:cs="仿宋_GB2312"/>
          <w:color w:val="000000"/>
          <w:sz w:val="32"/>
          <w:szCs w:val="32"/>
        </w:rPr>
      </w:pPr>
      <w:r>
        <w:rPr>
          <w:rFonts w:hint="eastAsia" w:ascii="仿宋_GB2312" w:eastAsia="仿宋_GB2312" w:cs="仿宋_GB2312"/>
          <w:b/>
          <w:bCs/>
          <w:color w:val="000000"/>
          <w:sz w:val="32"/>
          <w:szCs w:val="32"/>
        </w:rPr>
        <w:t>三是</w:t>
      </w:r>
      <w:r>
        <w:rPr>
          <w:rFonts w:hint="eastAsia" w:ascii="仿宋_GB2312" w:eastAsia="仿宋_GB2312" w:cs="仿宋_GB2312"/>
          <w:color w:val="000000"/>
          <w:sz w:val="32"/>
          <w:szCs w:val="32"/>
        </w:rPr>
        <w:t>广泛开展征求意见工作。组织召开专家咨询会、分园和部门座谈会。正式发函向各区政府、市级部门征求意见，共收到正式反馈意见建议11条，均已采纳。</w:t>
      </w:r>
    </w:p>
    <w:p w14:paraId="1C12ADE4">
      <w:pPr>
        <w:suppressAutoHyphens/>
        <w:spacing w:line="560" w:lineRule="exact"/>
        <w:ind w:firstLine="643" w:firstLineChars="200"/>
      </w:pPr>
      <w:r>
        <w:rPr>
          <w:rFonts w:hint="eastAsia" w:ascii="仿宋_GB2312" w:eastAsia="仿宋_GB2312" w:cs="仿宋_GB2312"/>
          <w:b/>
          <w:bCs/>
          <w:color w:val="000000"/>
          <w:sz w:val="32"/>
          <w:szCs w:val="32"/>
        </w:rPr>
        <w:t>四是</w:t>
      </w:r>
      <w:r>
        <w:rPr>
          <w:rFonts w:hint="eastAsia" w:ascii="仿宋_GB2312" w:eastAsia="仿宋_GB2312" w:cs="仿宋_GB2312"/>
          <w:color w:val="000000"/>
          <w:sz w:val="32"/>
          <w:szCs w:val="32"/>
        </w:rPr>
        <w:t>针对《管理办法》执行进行前期数据测算与预估。以分园考核评价指标体系为基础，选取当年新增总收入、地均产出、人均产出、研发投入强度、国高新保有量等重点指标，开展分级分类测算，定位风险区块。</w:t>
      </w:r>
    </w:p>
    <w:p w14:paraId="0C549014">
      <w:pPr>
        <w:adjustRightInd w:val="0"/>
        <w:snapToGrid w:val="0"/>
        <w:spacing w:line="560" w:lineRule="exact"/>
        <w:ind w:left="640"/>
        <w:outlineLvl w:val="0"/>
        <w:rPr>
          <w:rFonts w:ascii="黑体" w:hAnsi="黑体" w:eastAsia="黑体" w:cs="黑体"/>
          <w:color w:val="000000"/>
          <w:sz w:val="32"/>
          <w:szCs w:val="32"/>
        </w:rPr>
      </w:pPr>
      <w:r>
        <w:rPr>
          <w:rFonts w:hint="eastAsia" w:ascii="黑体" w:hAnsi="黑体" w:eastAsia="黑体" w:cs="黑体"/>
          <w:color w:val="000000"/>
          <w:sz w:val="32"/>
          <w:szCs w:val="32"/>
        </w:rPr>
        <w:t>四、主要内容</w:t>
      </w:r>
    </w:p>
    <w:p w14:paraId="29A1A12D">
      <w:pPr>
        <w:adjustRightInd w:val="0"/>
        <w:snapToGrid w:val="0"/>
        <w:spacing w:line="560" w:lineRule="exact"/>
        <w:ind w:firstLine="640" w:firstLineChars="20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分为总则、认定、管理考核、政策支持、附则五部分，共20条。</w:t>
      </w:r>
    </w:p>
    <w:p w14:paraId="59434163">
      <w:pPr>
        <w:widowControl/>
        <w:spacing w:line="560" w:lineRule="exact"/>
        <w:ind w:firstLine="640" w:firstLineChars="200"/>
        <w:rPr>
          <w:rFonts w:ascii="仿宋_GB2312" w:eastAsia="仿宋_GB2312" w:cs="仿宋_GB2312"/>
          <w:color w:val="000000"/>
          <w:sz w:val="32"/>
          <w:szCs w:val="32"/>
        </w:rPr>
      </w:pPr>
      <w:r>
        <w:rPr>
          <w:rFonts w:hint="eastAsia" w:ascii="楷体_GB2312" w:hAnsi="楷体_GB2312" w:eastAsia="楷体_GB2312" w:cs="楷体_GB2312"/>
          <w:bCs/>
          <w:color w:val="000000"/>
          <w:sz w:val="32"/>
          <w:szCs w:val="32"/>
        </w:rPr>
        <w:t>第一部分：总则，共4条。包含制定目的、适用范围、发展目标、工作原则。</w:t>
      </w:r>
      <w:r>
        <w:rPr>
          <w:rFonts w:hint="eastAsia" w:ascii="仿宋_GB2312" w:hAnsi="仿宋" w:eastAsia="仿宋_GB2312" w:cs="楷体_GB2312"/>
          <w:bCs/>
          <w:color w:val="000000"/>
          <w:sz w:val="32"/>
          <w:szCs w:val="32"/>
        </w:rPr>
        <w:t>为贯彻落实《北京国际科技创新中心建设条例》《中关村世界领先科技园区建设方案（2024—2027年）》等文件精神，支持各区因地制宜发展新质生产力，推进北京市高新技术产业开发区的设立与规范管理，有力支撑北京国际科技创新中心和中关村世界领先科技园区建设。遵循改革创新、规划引领、开放协同、梯度培育、优胜劣汰、动态调整的原则，设立市级高新区，推动科技创新与产业创新深度融合，强化国际科创中心主阵地功能，构建中关村世界领先科技园区的梯度发展格局。</w:t>
      </w:r>
    </w:p>
    <w:p w14:paraId="1AC5818C">
      <w:pPr>
        <w:widowControl/>
        <w:spacing w:line="560" w:lineRule="exact"/>
        <w:ind w:firstLine="640" w:firstLineChars="200"/>
        <w:rPr>
          <w:rFonts w:ascii="仿宋_GB2312" w:eastAsia="仿宋_GB2312" w:cs="仿宋_GB2312"/>
          <w:color w:val="000000"/>
          <w:sz w:val="32"/>
          <w:szCs w:val="32"/>
        </w:rPr>
      </w:pPr>
      <w:r>
        <w:rPr>
          <w:rFonts w:hint="eastAsia" w:ascii="楷体_GB2312" w:hAnsi="楷体_GB2312" w:eastAsia="楷体_GB2312" w:cs="楷体_GB2312"/>
          <w:bCs/>
          <w:color w:val="000000"/>
          <w:sz w:val="32"/>
          <w:szCs w:val="32"/>
        </w:rPr>
        <w:t>第二部分：认定，共3条。包含认定条件、认定材料、认定程序。</w:t>
      </w:r>
      <w:r>
        <w:rPr>
          <w:rFonts w:hint="eastAsia" w:ascii="仿宋_GB2312" w:eastAsia="仿宋_GB2312" w:cs="仿宋_GB2312"/>
          <w:color w:val="000000"/>
          <w:sz w:val="32"/>
          <w:szCs w:val="32"/>
        </w:rPr>
        <w:t>申报市级高新区的区块需由中关村分园管理机构统筹管理，土地利用结构和用地规模合理、布局集中。以培育发展高精尖产业、战略性新兴产业、未来产业为导向，符合首都城市战略定位、所在分园产业定位，发展质效指标增速原则上高于所在区平均水平。基础设施完备、配套设施齐全，符合安全生产、环境保护等法律法规要求。申请认定市级高新区需由所在区人民政府提交请示、重点指标数据、相关规划、空间利用情况等材料。市级高新区每年集中认定一次，由市科委、中关村管委会牵头，会同其他相关部门联审提出审核意见报市政府批复。</w:t>
      </w:r>
    </w:p>
    <w:p w14:paraId="4A4B8B3E">
      <w:pPr>
        <w:spacing w:line="560" w:lineRule="exact"/>
        <w:ind w:firstLine="640" w:firstLineChars="200"/>
        <w:rPr>
          <w:rFonts w:ascii="仿宋_GB2312" w:eastAsia="仿宋_GB2312" w:cs="仿宋_GB2312"/>
          <w:color w:val="000000"/>
          <w:sz w:val="32"/>
          <w:szCs w:val="32"/>
        </w:rPr>
      </w:pPr>
      <w:r>
        <w:rPr>
          <w:rFonts w:hint="eastAsia" w:ascii="楷体_GB2312" w:hAnsi="楷体_GB2312" w:eastAsia="楷体_GB2312" w:cs="楷体_GB2312"/>
          <w:bCs/>
          <w:color w:val="000000"/>
          <w:sz w:val="32"/>
          <w:szCs w:val="32"/>
        </w:rPr>
        <w:t>第三部分：管理考核，共5条。包含职责分工、综合评价、动态调整、梯度发展、过渡培育。</w:t>
      </w:r>
      <w:r>
        <w:rPr>
          <w:rFonts w:hint="eastAsia" w:ascii="仿宋_GB2312" w:eastAsia="仿宋_GB2312" w:cs="仿宋_GB2312"/>
          <w:color w:val="000000"/>
          <w:sz w:val="32"/>
          <w:szCs w:val="32"/>
        </w:rPr>
        <w:t>市科委、中关村管委会牵头开展市级高新区的认定与评价工作，市有关部门按照职责分工配合做好市级高新区有关工作。将国家级高新区及市级高新区一并纳入中关村分园创新发展综合评价体系，同步开展综合评价工作，评价结果报市人民政府审定后，向各区人民政府通报。依据评价结果建立市级高新区动态调整机制，对排名</w:t>
      </w:r>
      <w:r>
        <w:rPr>
          <w:rFonts w:hint="eastAsia" w:ascii="仿宋_GB2312" w:hAnsi="仿宋_GB2312" w:eastAsia="仿宋_GB2312" w:cs="仿宋_GB2312"/>
          <w:sz w:val="32"/>
          <w:szCs w:val="32"/>
        </w:rPr>
        <w:t>后5%的</w:t>
      </w:r>
      <w:r>
        <w:rPr>
          <w:rFonts w:hint="eastAsia" w:ascii="仿宋_GB2312" w:eastAsia="仿宋_GB2312" w:cs="仿宋_GB2312"/>
          <w:color w:val="000000"/>
          <w:sz w:val="32"/>
          <w:szCs w:val="32"/>
        </w:rPr>
        <w:t>区块责令整改，</w:t>
      </w:r>
      <w:r>
        <w:rPr>
          <w:rFonts w:hint="eastAsia" w:ascii="仿宋_GB2312" w:hAnsi="仿宋_GB2312" w:eastAsia="仿宋_GB2312" w:cs="仿宋_GB2312"/>
          <w:sz w:val="32"/>
          <w:szCs w:val="32"/>
        </w:rPr>
        <w:t>整改后仍不达标的，</w:t>
      </w:r>
      <w:r>
        <w:rPr>
          <w:rFonts w:hint="eastAsia" w:ascii="仿宋_GB2312" w:eastAsia="仿宋_GB2312" w:cs="仿宋_GB2312"/>
          <w:color w:val="000000"/>
          <w:sz w:val="32"/>
          <w:szCs w:val="32"/>
        </w:rPr>
        <w:t>退出市级高新区序列。如确需必要，属于《中国开发区审核公告目录》范围内的区块，同步报有关国家部委备案，不再纳入开发区目录范围。在国家开发区目录调整过程中，对于市级高新区范围内综合评价结果好的区块，优先推荐纳入国家高新区范围。针对生态涵养区拟认定为市级高新区的区块，需进行预估经济指标承诺，经评估后可设置不超过五年的过渡期，在过渡期内享受市级高新区政策。过渡期期满后未达成指标承诺的，退出市级高新区序列。</w:t>
      </w:r>
    </w:p>
    <w:p w14:paraId="5C448083">
      <w:pPr>
        <w:widowControl/>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需要说明的是：一是考核指标。基础评价指标由当年新增总收入（</w:t>
      </w:r>
      <w:r>
        <w:rPr>
          <w:rFonts w:ascii="仿宋_GB2312" w:eastAsia="仿宋_GB2312" w:cs="仿宋_GB2312"/>
          <w:color w:val="000000"/>
          <w:sz w:val="32"/>
          <w:szCs w:val="32"/>
        </w:rPr>
        <w:t>15%</w:t>
      </w:r>
      <w:r>
        <w:rPr>
          <w:rFonts w:hint="eastAsia" w:ascii="仿宋_GB2312" w:eastAsia="仿宋_GB2312" w:cs="仿宋_GB2312"/>
          <w:color w:val="000000"/>
          <w:sz w:val="32"/>
          <w:szCs w:val="32"/>
        </w:rPr>
        <w:t>）、地均产出（15</w:t>
      </w:r>
      <w:r>
        <w:rPr>
          <w:rFonts w:ascii="仿宋_GB2312" w:eastAsia="仿宋_GB2312" w:cs="仿宋_GB2312"/>
          <w:color w:val="000000"/>
          <w:sz w:val="32"/>
          <w:szCs w:val="32"/>
        </w:rPr>
        <w:t>%</w:t>
      </w:r>
      <w:r>
        <w:rPr>
          <w:rFonts w:hint="eastAsia" w:ascii="仿宋_GB2312" w:eastAsia="仿宋_GB2312" w:cs="仿宋_GB2312"/>
          <w:color w:val="000000"/>
          <w:sz w:val="32"/>
          <w:szCs w:val="32"/>
        </w:rPr>
        <w:t>）、人均产出（1</w:t>
      </w:r>
      <w:r>
        <w:rPr>
          <w:rFonts w:ascii="仿宋_GB2312" w:eastAsia="仿宋_GB2312" w:cs="仿宋_GB2312"/>
          <w:color w:val="000000"/>
          <w:sz w:val="32"/>
          <w:szCs w:val="32"/>
        </w:rPr>
        <w:t>0%</w:t>
      </w:r>
      <w:r>
        <w:rPr>
          <w:rFonts w:hint="eastAsia" w:ascii="仿宋_GB2312" w:eastAsia="仿宋_GB2312" w:cs="仿宋_GB2312"/>
          <w:color w:val="000000"/>
          <w:sz w:val="32"/>
          <w:szCs w:val="32"/>
        </w:rPr>
        <w:t>）、科技服务业企业营业收入（15%）、国家高新技术企业、专精特新“小巨人”企业等优质企业保有量（15</w:t>
      </w:r>
      <w:r>
        <w:rPr>
          <w:rFonts w:ascii="仿宋_GB2312" w:eastAsia="仿宋_GB2312" w:cs="仿宋_GB2312"/>
          <w:color w:val="000000"/>
          <w:sz w:val="32"/>
          <w:szCs w:val="32"/>
        </w:rPr>
        <w:t>%</w:t>
      </w:r>
      <w:r>
        <w:rPr>
          <w:rFonts w:hint="eastAsia" w:ascii="仿宋_GB2312" w:eastAsia="仿宋_GB2312" w:cs="仿宋_GB2312"/>
          <w:color w:val="000000"/>
          <w:sz w:val="32"/>
          <w:szCs w:val="32"/>
        </w:rPr>
        <w:t>）、人均技术合同成交额（10%）、企业研发投入强度（</w:t>
      </w:r>
      <w:r>
        <w:rPr>
          <w:rFonts w:ascii="仿宋_GB2312" w:eastAsia="仿宋_GB2312" w:cs="仿宋_GB2312"/>
          <w:color w:val="000000"/>
          <w:sz w:val="32"/>
          <w:szCs w:val="32"/>
        </w:rPr>
        <w:t>1</w:t>
      </w:r>
      <w:r>
        <w:rPr>
          <w:rFonts w:hint="eastAsia" w:ascii="仿宋_GB2312" w:eastAsia="仿宋_GB2312" w:cs="仿宋_GB2312"/>
          <w:color w:val="000000"/>
          <w:sz w:val="32"/>
          <w:szCs w:val="32"/>
        </w:rPr>
        <w:t>0</w:t>
      </w:r>
      <w:r>
        <w:rPr>
          <w:rFonts w:ascii="仿宋_GB2312" w:eastAsia="仿宋_GB2312" w:cs="仿宋_GB2312"/>
          <w:color w:val="000000"/>
          <w:sz w:val="32"/>
          <w:szCs w:val="32"/>
        </w:rPr>
        <w:t>%</w:t>
      </w:r>
      <w:r>
        <w:rPr>
          <w:rFonts w:hint="eastAsia" w:ascii="仿宋_GB2312" w:eastAsia="仿宋_GB2312" w:cs="仿宋_GB2312"/>
          <w:color w:val="000000"/>
          <w:sz w:val="32"/>
          <w:szCs w:val="32"/>
        </w:rPr>
        <w:t>）、当年登记入库的科技型及创新型中小企业数（</w:t>
      </w:r>
      <w:r>
        <w:rPr>
          <w:rFonts w:ascii="仿宋_GB2312" w:eastAsia="仿宋_GB2312" w:cs="仿宋_GB2312"/>
          <w:color w:val="000000"/>
          <w:sz w:val="32"/>
          <w:szCs w:val="32"/>
        </w:rPr>
        <w:t>10%</w:t>
      </w:r>
      <w:r>
        <w:rPr>
          <w:rFonts w:hint="eastAsia" w:ascii="仿宋_GB2312" w:eastAsia="仿宋_GB2312" w:cs="仿宋_GB2312"/>
          <w:color w:val="000000"/>
          <w:sz w:val="32"/>
          <w:szCs w:val="32"/>
        </w:rPr>
        <w:t>）构成，另外实缴税费（1</w:t>
      </w:r>
      <w:r>
        <w:rPr>
          <w:rFonts w:ascii="仿宋_GB2312" w:eastAsia="仿宋_GB2312" w:cs="仿宋_GB2312"/>
          <w:color w:val="000000"/>
          <w:sz w:val="32"/>
          <w:szCs w:val="32"/>
        </w:rPr>
        <w:t>0%</w:t>
      </w:r>
      <w:r>
        <w:rPr>
          <w:rFonts w:hint="eastAsia" w:ascii="仿宋_GB2312" w:eastAsia="仿宋_GB2312" w:cs="仿宋_GB2312"/>
          <w:color w:val="000000"/>
          <w:sz w:val="32"/>
          <w:szCs w:val="32"/>
        </w:rPr>
        <w:t>）、新晋独角兽企业数（1</w:t>
      </w:r>
      <w:r>
        <w:rPr>
          <w:rFonts w:ascii="仿宋_GB2312" w:eastAsia="仿宋_GB2312" w:cs="仿宋_GB2312"/>
          <w:color w:val="000000"/>
          <w:sz w:val="32"/>
          <w:szCs w:val="32"/>
        </w:rPr>
        <w:t>0%</w:t>
      </w:r>
      <w:r>
        <w:rPr>
          <w:rFonts w:hint="eastAsia" w:ascii="仿宋_GB2312" w:eastAsia="仿宋_GB2312" w:cs="仿宋_GB2312"/>
          <w:color w:val="000000"/>
          <w:sz w:val="32"/>
          <w:szCs w:val="32"/>
        </w:rPr>
        <w:t>）作为加分项指标。下一步需综合新版《国家高新技术产业开发区综合评价指标体系》，并根据国家部委和我市最新决策部署及时更新。二是分类考核。依据中关村示范区分园创新发展综合评价指标体系进行分类，划分为城六区与亦庄、其他分园进行分类考核。三是淘汰方式。为避免动态调整对分园整体产生较大影响，将根据区块面积与占比，分类设置动态调整模式。其中，针对区块面积小于等于2平方公里，且区块面积占分园面积比例低于20%的直接淘汰，高于20%的按区块面积的50%压减，压减后不低于0.5平方公里；针对区块面积大于2平方公里，且区块面积占分园比例低于20%的按区块面积的50%压减，高于20%的按区块面积的25%压减。四是空间构成。经初步核算，整合中关村现状范围、各区意向纳入区块、市级开发区与中关村非重叠范围、现有区级开发区择优范围，整合面积约为718km</w:t>
      </w:r>
      <w:r>
        <w:rPr>
          <w:rFonts w:hint="eastAsia" w:ascii="仿宋_GB2312" w:eastAsia="仿宋_GB2312" w:cs="仿宋_GB2312"/>
          <w:color w:val="000000"/>
          <w:sz w:val="32"/>
          <w:szCs w:val="32"/>
          <w:vertAlign w:val="superscript"/>
        </w:rPr>
        <w:t>2</w:t>
      </w:r>
      <w:r>
        <w:rPr>
          <w:rFonts w:hint="eastAsia" w:ascii="仿宋_GB2312" w:eastAsia="仿宋_GB2312" w:cs="仿宋_GB2312"/>
          <w:color w:val="000000"/>
          <w:sz w:val="32"/>
          <w:szCs w:val="32"/>
        </w:rPr>
        <w:t>。后续统筹国家级高新区、国家级经开区申报范围进行扣除，剩余面积为可认定为市级高新区的最大范围。</w:t>
      </w:r>
    </w:p>
    <w:p w14:paraId="6B376CE7">
      <w:pPr>
        <w:spacing w:line="560" w:lineRule="exact"/>
        <w:ind w:firstLine="640" w:firstLineChars="200"/>
        <w:rPr>
          <w:rFonts w:ascii="仿宋_GB2312" w:eastAsia="仿宋_GB2312" w:cs="仿宋_GB2312"/>
          <w:color w:val="000000"/>
          <w:sz w:val="32"/>
          <w:szCs w:val="32"/>
        </w:rPr>
      </w:pPr>
      <w:r>
        <w:rPr>
          <w:rFonts w:hint="eastAsia" w:ascii="楷体_GB2312" w:hAnsi="楷体_GB2312" w:eastAsia="楷体_GB2312" w:cs="楷体_GB2312"/>
          <w:bCs/>
          <w:color w:val="000000"/>
          <w:sz w:val="32"/>
          <w:szCs w:val="32"/>
        </w:rPr>
        <w:t>第四部分：政策支持，共6条</w:t>
      </w:r>
      <w:r>
        <w:rPr>
          <w:rFonts w:hint="eastAsia" w:ascii="仿宋_GB2312" w:eastAsia="仿宋_GB2312" w:cs="仿宋_GB2312"/>
          <w:color w:val="000000"/>
          <w:sz w:val="32"/>
          <w:szCs w:val="32"/>
        </w:rPr>
        <w:t>。</w:t>
      </w:r>
      <w:r>
        <w:rPr>
          <w:rFonts w:hint="eastAsia" w:ascii="楷体_GB2312" w:hAnsi="楷体_GB2312" w:eastAsia="楷体_GB2312" w:cs="楷体_GB2312"/>
          <w:bCs/>
          <w:color w:val="000000"/>
          <w:sz w:val="32"/>
          <w:szCs w:val="32"/>
        </w:rPr>
        <w:t>包括项目落地、土地支持、资金支持、人才支持、场景支持、适用政策。</w:t>
      </w:r>
      <w:r>
        <w:rPr>
          <w:rFonts w:hint="eastAsia" w:ascii="仿宋_GB2312" w:eastAsia="仿宋_GB2312" w:cs="仿宋_GB2312"/>
          <w:color w:val="000000"/>
          <w:sz w:val="32"/>
          <w:szCs w:val="32"/>
        </w:rPr>
        <w:t>市级高新区享受市级开发区在产业项目落地方面的政策。市级部门优先保障市级高新区发展建设用地空间。设立市级高新区专项支持资金，用于支持区块内创新资源集聚、产业发展、企业服务、基础设施建设、环境改造等方面重点项目。支持市级高新区引进</w:t>
      </w:r>
      <w:r>
        <w:rPr>
          <w:rFonts w:hint="eastAsia" w:ascii="仿宋_GB2312" w:hAnsi="仿宋_GB2312" w:eastAsia="仿宋_GB2312" w:cs="仿宋_GB2312"/>
          <w:sz w:val="32"/>
          <w:szCs w:val="32"/>
        </w:rPr>
        <w:t>具有园区运营、产业、招商、投融资等专业背景的</w:t>
      </w:r>
      <w:r>
        <w:rPr>
          <w:rFonts w:hint="eastAsia" w:ascii="仿宋_GB2312" w:eastAsia="仿宋_GB2312" w:cs="仿宋_GB2312"/>
          <w:color w:val="000000"/>
          <w:sz w:val="32"/>
          <w:szCs w:val="32"/>
        </w:rPr>
        <w:t>紧缺人才。</w:t>
      </w:r>
      <w:r>
        <w:rPr>
          <w:rFonts w:hint="eastAsia" w:ascii="仿宋_GB2312" w:hAnsi="仿宋_GB2312" w:eastAsia="仿宋_GB2312" w:cs="仿宋_GB2312"/>
          <w:sz w:val="32"/>
          <w:szCs w:val="32"/>
        </w:rPr>
        <w:t>定期向</w:t>
      </w:r>
      <w:r>
        <w:rPr>
          <w:rFonts w:hint="eastAsia" w:ascii="仿宋_GB2312" w:eastAsia="仿宋_GB2312" w:cs="仿宋_GB2312"/>
          <w:color w:val="000000"/>
          <w:sz w:val="32"/>
          <w:szCs w:val="32"/>
        </w:rPr>
        <w:t>市级高新区</w:t>
      </w:r>
      <w:r>
        <w:rPr>
          <w:rFonts w:hint="eastAsia" w:ascii="仿宋_GB2312" w:hAnsi="仿宋_GB2312" w:eastAsia="仿宋_GB2312" w:cs="仿宋_GB2312"/>
          <w:sz w:val="32"/>
          <w:szCs w:val="32"/>
        </w:rPr>
        <w:t>发布应用场景建设需求清单</w:t>
      </w:r>
      <w:r>
        <w:rPr>
          <w:rFonts w:hint="eastAsia" w:ascii="仿宋_GB2312" w:eastAsia="仿宋_GB2312" w:cs="仿宋_GB2312"/>
          <w:color w:val="000000"/>
          <w:sz w:val="32"/>
          <w:szCs w:val="32"/>
        </w:rPr>
        <w:t>。市级高新区</w:t>
      </w:r>
      <w:r>
        <w:rPr>
          <w:rFonts w:hint="eastAsia" w:ascii="仿宋_GB2312" w:hAnsi="仿宋_GB2312" w:eastAsia="仿宋_GB2312" w:cs="仿宋_GB2312"/>
          <w:sz w:val="32"/>
          <w:szCs w:val="32"/>
        </w:rPr>
        <w:t>范围内但位于中关村国家自主创新示范区外的区域</w:t>
      </w:r>
      <w:r>
        <w:rPr>
          <w:rFonts w:hint="eastAsia" w:ascii="仿宋_GB2312" w:eastAsia="仿宋_GB2312" w:cs="仿宋_GB2312"/>
          <w:color w:val="000000"/>
          <w:sz w:val="32"/>
          <w:szCs w:val="32"/>
        </w:rPr>
        <w:t>，仅享受北京市支持中关村发展的市级相关政策。</w:t>
      </w:r>
    </w:p>
    <w:p w14:paraId="2884CEC2">
      <w:pPr>
        <w:widowControl/>
        <w:spacing w:line="560" w:lineRule="exact"/>
        <w:ind w:firstLine="640" w:firstLineChars="200"/>
        <w:rPr>
          <w:rFonts w:ascii="仿宋_GB2312" w:eastAsia="仿宋_GB2312" w:cs="仿宋_GB2312"/>
          <w:color w:val="000000"/>
          <w:sz w:val="32"/>
          <w:szCs w:val="32"/>
        </w:rPr>
      </w:pPr>
      <w:r>
        <w:rPr>
          <w:rFonts w:hint="eastAsia" w:ascii="楷体_GB2312" w:hAnsi="楷体_GB2312" w:eastAsia="楷体_GB2312" w:cs="楷体_GB2312"/>
          <w:bCs/>
          <w:color w:val="000000"/>
          <w:sz w:val="32"/>
          <w:szCs w:val="32"/>
        </w:rPr>
        <w:t>第五部分：附则，共2条。</w:t>
      </w:r>
      <w:r>
        <w:rPr>
          <w:rFonts w:hint="eastAsia" w:ascii="仿宋_GB2312" w:eastAsia="仿宋_GB2312" w:cs="仿宋_GB2312"/>
          <w:color w:val="000000"/>
          <w:sz w:val="32"/>
          <w:szCs w:val="32"/>
        </w:rPr>
        <w:t>明确《管理办法》释义部门、实施时间等。</w:t>
      </w:r>
    </w:p>
    <w:p w14:paraId="5E14FFB8">
      <w:pPr>
        <w:jc w:val="center"/>
      </w:pPr>
    </w:p>
    <w:sectPr>
      <w:headerReference r:id="rId3" w:type="default"/>
      <w:footerReference r:id="rId4" w:type="default"/>
      <w:pgSz w:w="11906" w:h="16838"/>
      <w:pgMar w:top="2098" w:right="1474" w:bottom="1757"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汉仪平安行粗简">
    <w:altName w:val="仿宋"/>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2000000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26B20">
    <w:pPr>
      <w:pStyle w:val="13"/>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47458620"/>
                          </w:sdtPr>
                          <w:sdtContent>
                            <w:p w14:paraId="39B251CC">
                              <w:pPr>
                                <w:pStyle w:val="13"/>
                                <w:ind w:firstLine="360"/>
                                <w:jc w:val="center"/>
                              </w:pPr>
                              <w:r>
                                <w:fldChar w:fldCharType="begin"/>
                              </w:r>
                              <w:r>
                                <w:instrText xml:space="preserve">PAGE   \* MERGEFORMAT</w:instrText>
                              </w:r>
                              <w:r>
                                <w:fldChar w:fldCharType="separate"/>
                              </w:r>
                              <w:r>
                                <w:rPr>
                                  <w:lang w:val="zh-CN"/>
                                </w:rPr>
                                <w:t>-</w:t>
                              </w:r>
                              <w:r>
                                <w:t xml:space="preserve"> 19 -</w:t>
                              </w:r>
                              <w:r>
                                <w:fldChar w:fldCharType="end"/>
                              </w:r>
                            </w:p>
                          </w:sdtContent>
                        </w:sdt>
                        <w:p w14:paraId="3D1DBAB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sdt>
                    <w:sdtPr>
                      <w:id w:val="147458620"/>
                    </w:sdtPr>
                    <w:sdtContent>
                      <w:p w14:paraId="39B251CC">
                        <w:pPr>
                          <w:pStyle w:val="13"/>
                          <w:ind w:firstLine="360"/>
                          <w:jc w:val="center"/>
                        </w:pPr>
                        <w:r>
                          <w:fldChar w:fldCharType="begin"/>
                        </w:r>
                        <w:r>
                          <w:instrText xml:space="preserve">PAGE   \* MERGEFORMAT</w:instrText>
                        </w:r>
                        <w:r>
                          <w:fldChar w:fldCharType="separate"/>
                        </w:r>
                        <w:r>
                          <w:rPr>
                            <w:lang w:val="zh-CN"/>
                          </w:rPr>
                          <w:t>-</w:t>
                        </w:r>
                        <w:r>
                          <w:t xml:space="preserve"> 19 -</w:t>
                        </w:r>
                        <w:r>
                          <w:fldChar w:fldCharType="end"/>
                        </w:r>
                      </w:p>
                    </w:sdtContent>
                  </w:sdt>
                  <w:p w14:paraId="3D1DBABE"/>
                </w:txbxContent>
              </v:textbox>
            </v:shape>
          </w:pict>
        </mc:Fallback>
      </mc:AlternateContent>
    </w:r>
  </w:p>
  <w:p w14:paraId="590BCD12">
    <w:pPr>
      <w:pStyle w:val="1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57B25">
    <w:pPr>
      <w:pStyle w:val="1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0"/>
  <w:defaultTabStop w:val="50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 w:name="KSO_WPS_MARK_KEY" w:val="e8876fe0-fe5a-4003-bec0-8f981a0f3d16"/>
  </w:docVars>
  <w:rsids>
    <w:rsidRoot w:val="00EE348E"/>
    <w:rsid w:val="000015DE"/>
    <w:rsid w:val="00003F6D"/>
    <w:rsid w:val="000056C9"/>
    <w:rsid w:val="0000649C"/>
    <w:rsid w:val="00006B84"/>
    <w:rsid w:val="00011E79"/>
    <w:rsid w:val="000173D1"/>
    <w:rsid w:val="00017D22"/>
    <w:rsid w:val="00023D47"/>
    <w:rsid w:val="000316BC"/>
    <w:rsid w:val="00033424"/>
    <w:rsid w:val="0004081E"/>
    <w:rsid w:val="00042406"/>
    <w:rsid w:val="00042D29"/>
    <w:rsid w:val="0004317F"/>
    <w:rsid w:val="00043D2F"/>
    <w:rsid w:val="000446D1"/>
    <w:rsid w:val="00044BB3"/>
    <w:rsid w:val="00046D36"/>
    <w:rsid w:val="0004713B"/>
    <w:rsid w:val="000520F8"/>
    <w:rsid w:val="0005267F"/>
    <w:rsid w:val="0005282F"/>
    <w:rsid w:val="0005486A"/>
    <w:rsid w:val="00054A3B"/>
    <w:rsid w:val="00055005"/>
    <w:rsid w:val="000605FA"/>
    <w:rsid w:val="00061605"/>
    <w:rsid w:val="00066631"/>
    <w:rsid w:val="00071034"/>
    <w:rsid w:val="00075135"/>
    <w:rsid w:val="00075F86"/>
    <w:rsid w:val="00076537"/>
    <w:rsid w:val="000813E7"/>
    <w:rsid w:val="00086C08"/>
    <w:rsid w:val="0008741F"/>
    <w:rsid w:val="00091062"/>
    <w:rsid w:val="00091ABE"/>
    <w:rsid w:val="0009265D"/>
    <w:rsid w:val="00092FF6"/>
    <w:rsid w:val="00094B5E"/>
    <w:rsid w:val="0009725F"/>
    <w:rsid w:val="000A05AB"/>
    <w:rsid w:val="000A143B"/>
    <w:rsid w:val="000A1599"/>
    <w:rsid w:val="000A15A3"/>
    <w:rsid w:val="000A611C"/>
    <w:rsid w:val="000A685D"/>
    <w:rsid w:val="000B0B29"/>
    <w:rsid w:val="000B1A73"/>
    <w:rsid w:val="000B28FD"/>
    <w:rsid w:val="000B310E"/>
    <w:rsid w:val="000B5E56"/>
    <w:rsid w:val="000B64D7"/>
    <w:rsid w:val="000B6CFC"/>
    <w:rsid w:val="000C0150"/>
    <w:rsid w:val="000C208F"/>
    <w:rsid w:val="000C3F06"/>
    <w:rsid w:val="000C5F7D"/>
    <w:rsid w:val="000C6811"/>
    <w:rsid w:val="000C6BDB"/>
    <w:rsid w:val="000C73AB"/>
    <w:rsid w:val="000C7BA2"/>
    <w:rsid w:val="000D036E"/>
    <w:rsid w:val="000D183C"/>
    <w:rsid w:val="000D1CCA"/>
    <w:rsid w:val="000D2A19"/>
    <w:rsid w:val="000D4B3C"/>
    <w:rsid w:val="000D4BE6"/>
    <w:rsid w:val="000E03EB"/>
    <w:rsid w:val="000E1751"/>
    <w:rsid w:val="000E2287"/>
    <w:rsid w:val="000E63F7"/>
    <w:rsid w:val="000F0690"/>
    <w:rsid w:val="000F3ACB"/>
    <w:rsid w:val="000F4424"/>
    <w:rsid w:val="000F4DEF"/>
    <w:rsid w:val="000F5529"/>
    <w:rsid w:val="000F6244"/>
    <w:rsid w:val="001027D4"/>
    <w:rsid w:val="00104C21"/>
    <w:rsid w:val="001115E2"/>
    <w:rsid w:val="001134B8"/>
    <w:rsid w:val="00113A13"/>
    <w:rsid w:val="00115299"/>
    <w:rsid w:val="00115CCE"/>
    <w:rsid w:val="00117735"/>
    <w:rsid w:val="00120DC1"/>
    <w:rsid w:val="00124B2A"/>
    <w:rsid w:val="001264CA"/>
    <w:rsid w:val="001309B3"/>
    <w:rsid w:val="001323B2"/>
    <w:rsid w:val="00136C95"/>
    <w:rsid w:val="0014116F"/>
    <w:rsid w:val="001411BA"/>
    <w:rsid w:val="00142355"/>
    <w:rsid w:val="00142DF5"/>
    <w:rsid w:val="00145D44"/>
    <w:rsid w:val="00155E13"/>
    <w:rsid w:val="00161383"/>
    <w:rsid w:val="0016247F"/>
    <w:rsid w:val="00166E72"/>
    <w:rsid w:val="00167460"/>
    <w:rsid w:val="00170F2A"/>
    <w:rsid w:val="001720D9"/>
    <w:rsid w:val="001765DA"/>
    <w:rsid w:val="00180193"/>
    <w:rsid w:val="0018074E"/>
    <w:rsid w:val="00181760"/>
    <w:rsid w:val="001830E1"/>
    <w:rsid w:val="001843C2"/>
    <w:rsid w:val="00184C5D"/>
    <w:rsid w:val="001871D9"/>
    <w:rsid w:val="0019021D"/>
    <w:rsid w:val="00191BE4"/>
    <w:rsid w:val="00194335"/>
    <w:rsid w:val="00195B85"/>
    <w:rsid w:val="001965A7"/>
    <w:rsid w:val="001967D1"/>
    <w:rsid w:val="001A01D1"/>
    <w:rsid w:val="001A0EDC"/>
    <w:rsid w:val="001A180B"/>
    <w:rsid w:val="001A3950"/>
    <w:rsid w:val="001B3D66"/>
    <w:rsid w:val="001B44CD"/>
    <w:rsid w:val="001B7476"/>
    <w:rsid w:val="001C50CB"/>
    <w:rsid w:val="001C5455"/>
    <w:rsid w:val="001C79F5"/>
    <w:rsid w:val="001D05DD"/>
    <w:rsid w:val="001D0924"/>
    <w:rsid w:val="001D1E8F"/>
    <w:rsid w:val="001D41A5"/>
    <w:rsid w:val="001D549E"/>
    <w:rsid w:val="001D7CB9"/>
    <w:rsid w:val="001E1CCD"/>
    <w:rsid w:val="001E4CA8"/>
    <w:rsid w:val="001E5E3C"/>
    <w:rsid w:val="001E71EB"/>
    <w:rsid w:val="001E7FD5"/>
    <w:rsid w:val="001F22C3"/>
    <w:rsid w:val="001F2ADF"/>
    <w:rsid w:val="001F66CA"/>
    <w:rsid w:val="001F671F"/>
    <w:rsid w:val="00203C4C"/>
    <w:rsid w:val="002058BF"/>
    <w:rsid w:val="00205A25"/>
    <w:rsid w:val="00205CFC"/>
    <w:rsid w:val="00206492"/>
    <w:rsid w:val="00211054"/>
    <w:rsid w:val="00213DC1"/>
    <w:rsid w:val="002149B7"/>
    <w:rsid w:val="002149E7"/>
    <w:rsid w:val="0022388D"/>
    <w:rsid w:val="00224249"/>
    <w:rsid w:val="002251BD"/>
    <w:rsid w:val="002252BA"/>
    <w:rsid w:val="0022562F"/>
    <w:rsid w:val="002260BC"/>
    <w:rsid w:val="00230AA3"/>
    <w:rsid w:val="00230D6E"/>
    <w:rsid w:val="00231FB5"/>
    <w:rsid w:val="00232CE9"/>
    <w:rsid w:val="00237FBB"/>
    <w:rsid w:val="00241F1A"/>
    <w:rsid w:val="00242380"/>
    <w:rsid w:val="0024378A"/>
    <w:rsid w:val="002446D1"/>
    <w:rsid w:val="002449D7"/>
    <w:rsid w:val="002456CE"/>
    <w:rsid w:val="002479F1"/>
    <w:rsid w:val="00247E2F"/>
    <w:rsid w:val="00250707"/>
    <w:rsid w:val="002523E4"/>
    <w:rsid w:val="002537C6"/>
    <w:rsid w:val="0025514E"/>
    <w:rsid w:val="002551A9"/>
    <w:rsid w:val="00255484"/>
    <w:rsid w:val="002568DA"/>
    <w:rsid w:val="00260104"/>
    <w:rsid w:val="002601EC"/>
    <w:rsid w:val="0026373B"/>
    <w:rsid w:val="00273187"/>
    <w:rsid w:val="002774DB"/>
    <w:rsid w:val="00281AE6"/>
    <w:rsid w:val="00282494"/>
    <w:rsid w:val="0028303F"/>
    <w:rsid w:val="00283437"/>
    <w:rsid w:val="002941AC"/>
    <w:rsid w:val="0029479D"/>
    <w:rsid w:val="002A0A8F"/>
    <w:rsid w:val="002A0C57"/>
    <w:rsid w:val="002A3874"/>
    <w:rsid w:val="002A543F"/>
    <w:rsid w:val="002A64F4"/>
    <w:rsid w:val="002A672A"/>
    <w:rsid w:val="002B282E"/>
    <w:rsid w:val="002B3CBF"/>
    <w:rsid w:val="002B421E"/>
    <w:rsid w:val="002B4510"/>
    <w:rsid w:val="002B4BA4"/>
    <w:rsid w:val="002B74E4"/>
    <w:rsid w:val="002C1F65"/>
    <w:rsid w:val="002C5C78"/>
    <w:rsid w:val="002C68F7"/>
    <w:rsid w:val="002D1256"/>
    <w:rsid w:val="002D22DC"/>
    <w:rsid w:val="002D5314"/>
    <w:rsid w:val="002E02EC"/>
    <w:rsid w:val="002E0846"/>
    <w:rsid w:val="002E2F33"/>
    <w:rsid w:val="002E7D89"/>
    <w:rsid w:val="002F23ED"/>
    <w:rsid w:val="002F6434"/>
    <w:rsid w:val="002F6670"/>
    <w:rsid w:val="002F6865"/>
    <w:rsid w:val="00300056"/>
    <w:rsid w:val="003011E3"/>
    <w:rsid w:val="00302D27"/>
    <w:rsid w:val="003040B7"/>
    <w:rsid w:val="00304133"/>
    <w:rsid w:val="00305A5C"/>
    <w:rsid w:val="00306004"/>
    <w:rsid w:val="0031243A"/>
    <w:rsid w:val="00314996"/>
    <w:rsid w:val="0032004C"/>
    <w:rsid w:val="00320409"/>
    <w:rsid w:val="00321D5D"/>
    <w:rsid w:val="003244F3"/>
    <w:rsid w:val="00325C07"/>
    <w:rsid w:val="00327EC1"/>
    <w:rsid w:val="00334A72"/>
    <w:rsid w:val="00341D26"/>
    <w:rsid w:val="0034542C"/>
    <w:rsid w:val="00347E06"/>
    <w:rsid w:val="00351C66"/>
    <w:rsid w:val="00352010"/>
    <w:rsid w:val="00353150"/>
    <w:rsid w:val="00357855"/>
    <w:rsid w:val="00357C4D"/>
    <w:rsid w:val="00360E39"/>
    <w:rsid w:val="00361111"/>
    <w:rsid w:val="00361AC4"/>
    <w:rsid w:val="00363E2D"/>
    <w:rsid w:val="00364200"/>
    <w:rsid w:val="0036457D"/>
    <w:rsid w:val="00364858"/>
    <w:rsid w:val="00366396"/>
    <w:rsid w:val="00367F22"/>
    <w:rsid w:val="0037277C"/>
    <w:rsid w:val="00374F92"/>
    <w:rsid w:val="00377744"/>
    <w:rsid w:val="003852FB"/>
    <w:rsid w:val="00385DD3"/>
    <w:rsid w:val="00386568"/>
    <w:rsid w:val="00386D4C"/>
    <w:rsid w:val="003872A0"/>
    <w:rsid w:val="003923C5"/>
    <w:rsid w:val="003944D1"/>
    <w:rsid w:val="00394C7F"/>
    <w:rsid w:val="00396294"/>
    <w:rsid w:val="00397569"/>
    <w:rsid w:val="0039765C"/>
    <w:rsid w:val="003A227B"/>
    <w:rsid w:val="003A3D03"/>
    <w:rsid w:val="003A61FE"/>
    <w:rsid w:val="003A6E30"/>
    <w:rsid w:val="003B21D4"/>
    <w:rsid w:val="003B32D9"/>
    <w:rsid w:val="003B6F86"/>
    <w:rsid w:val="003C1E1C"/>
    <w:rsid w:val="003C246D"/>
    <w:rsid w:val="003C24F6"/>
    <w:rsid w:val="003C4C48"/>
    <w:rsid w:val="003D0ED8"/>
    <w:rsid w:val="003D7152"/>
    <w:rsid w:val="003D7E4A"/>
    <w:rsid w:val="003E432E"/>
    <w:rsid w:val="003E614A"/>
    <w:rsid w:val="003E65D4"/>
    <w:rsid w:val="003F093C"/>
    <w:rsid w:val="003F1716"/>
    <w:rsid w:val="003F2052"/>
    <w:rsid w:val="0040021E"/>
    <w:rsid w:val="00404B8E"/>
    <w:rsid w:val="004055A4"/>
    <w:rsid w:val="00405C65"/>
    <w:rsid w:val="00411789"/>
    <w:rsid w:val="00414F6F"/>
    <w:rsid w:val="00416F48"/>
    <w:rsid w:val="00420F6A"/>
    <w:rsid w:val="004236ED"/>
    <w:rsid w:val="00424D83"/>
    <w:rsid w:val="00434433"/>
    <w:rsid w:val="004349F1"/>
    <w:rsid w:val="004357B8"/>
    <w:rsid w:val="004363BE"/>
    <w:rsid w:val="00440467"/>
    <w:rsid w:val="00444B6A"/>
    <w:rsid w:val="00451FBB"/>
    <w:rsid w:val="00452994"/>
    <w:rsid w:val="00461B58"/>
    <w:rsid w:val="00461E7B"/>
    <w:rsid w:val="00462C2A"/>
    <w:rsid w:val="0046360E"/>
    <w:rsid w:val="004666AE"/>
    <w:rsid w:val="00473D72"/>
    <w:rsid w:val="004779B5"/>
    <w:rsid w:val="00480DBC"/>
    <w:rsid w:val="00486DBD"/>
    <w:rsid w:val="00487CAB"/>
    <w:rsid w:val="00493149"/>
    <w:rsid w:val="004934A2"/>
    <w:rsid w:val="00497C9B"/>
    <w:rsid w:val="004A0FF5"/>
    <w:rsid w:val="004B0002"/>
    <w:rsid w:val="004B04DC"/>
    <w:rsid w:val="004C0EA7"/>
    <w:rsid w:val="004C14AA"/>
    <w:rsid w:val="004C527C"/>
    <w:rsid w:val="004D12ED"/>
    <w:rsid w:val="004D3BDA"/>
    <w:rsid w:val="004D5DC2"/>
    <w:rsid w:val="004E1121"/>
    <w:rsid w:val="004E4CA4"/>
    <w:rsid w:val="004E5384"/>
    <w:rsid w:val="004E70B7"/>
    <w:rsid w:val="004F3FB5"/>
    <w:rsid w:val="004F55E2"/>
    <w:rsid w:val="004F6F6E"/>
    <w:rsid w:val="004F7960"/>
    <w:rsid w:val="004F7C1E"/>
    <w:rsid w:val="00500271"/>
    <w:rsid w:val="00504171"/>
    <w:rsid w:val="0051421C"/>
    <w:rsid w:val="00514ED0"/>
    <w:rsid w:val="005151F8"/>
    <w:rsid w:val="00515BA4"/>
    <w:rsid w:val="00516D5A"/>
    <w:rsid w:val="0052270E"/>
    <w:rsid w:val="00523D8C"/>
    <w:rsid w:val="00527747"/>
    <w:rsid w:val="00531B4D"/>
    <w:rsid w:val="00535F34"/>
    <w:rsid w:val="00540DAD"/>
    <w:rsid w:val="00542866"/>
    <w:rsid w:val="00543A83"/>
    <w:rsid w:val="0054447F"/>
    <w:rsid w:val="0054640F"/>
    <w:rsid w:val="005547A0"/>
    <w:rsid w:val="005559EA"/>
    <w:rsid w:val="0055630C"/>
    <w:rsid w:val="005614BA"/>
    <w:rsid w:val="0056731D"/>
    <w:rsid w:val="0057038A"/>
    <w:rsid w:val="005703C5"/>
    <w:rsid w:val="005711BA"/>
    <w:rsid w:val="005743FB"/>
    <w:rsid w:val="00574E13"/>
    <w:rsid w:val="00575A7A"/>
    <w:rsid w:val="005766E8"/>
    <w:rsid w:val="00580690"/>
    <w:rsid w:val="005827B9"/>
    <w:rsid w:val="005850FD"/>
    <w:rsid w:val="00587A9A"/>
    <w:rsid w:val="00590A1E"/>
    <w:rsid w:val="00590AAD"/>
    <w:rsid w:val="005911B8"/>
    <w:rsid w:val="00591938"/>
    <w:rsid w:val="00591F4D"/>
    <w:rsid w:val="00592BFE"/>
    <w:rsid w:val="00592E82"/>
    <w:rsid w:val="00592F61"/>
    <w:rsid w:val="005944F0"/>
    <w:rsid w:val="00597F45"/>
    <w:rsid w:val="005A1C50"/>
    <w:rsid w:val="005A249F"/>
    <w:rsid w:val="005A25A9"/>
    <w:rsid w:val="005A2D66"/>
    <w:rsid w:val="005A41F8"/>
    <w:rsid w:val="005A4909"/>
    <w:rsid w:val="005A6F1F"/>
    <w:rsid w:val="005B0A28"/>
    <w:rsid w:val="005B2A75"/>
    <w:rsid w:val="005B2BC9"/>
    <w:rsid w:val="005B3833"/>
    <w:rsid w:val="005B583A"/>
    <w:rsid w:val="005B6DE3"/>
    <w:rsid w:val="005C08CC"/>
    <w:rsid w:val="005C0E82"/>
    <w:rsid w:val="005C2E58"/>
    <w:rsid w:val="005C58AB"/>
    <w:rsid w:val="005D449B"/>
    <w:rsid w:val="005E32C4"/>
    <w:rsid w:val="005E3C00"/>
    <w:rsid w:val="005E727C"/>
    <w:rsid w:val="005F09B9"/>
    <w:rsid w:val="005F66F9"/>
    <w:rsid w:val="006000FA"/>
    <w:rsid w:val="00601B14"/>
    <w:rsid w:val="006027B4"/>
    <w:rsid w:val="00604993"/>
    <w:rsid w:val="00607326"/>
    <w:rsid w:val="00610FAD"/>
    <w:rsid w:val="00612D58"/>
    <w:rsid w:val="00613988"/>
    <w:rsid w:val="00614098"/>
    <w:rsid w:val="00614772"/>
    <w:rsid w:val="006159FD"/>
    <w:rsid w:val="00617F25"/>
    <w:rsid w:val="00620670"/>
    <w:rsid w:val="00620D60"/>
    <w:rsid w:val="006219CB"/>
    <w:rsid w:val="00623F6C"/>
    <w:rsid w:val="006246DD"/>
    <w:rsid w:val="006258F0"/>
    <w:rsid w:val="0063147A"/>
    <w:rsid w:val="0063243B"/>
    <w:rsid w:val="0063286C"/>
    <w:rsid w:val="0063355F"/>
    <w:rsid w:val="00633D45"/>
    <w:rsid w:val="006348A9"/>
    <w:rsid w:val="00635057"/>
    <w:rsid w:val="00635548"/>
    <w:rsid w:val="0063632D"/>
    <w:rsid w:val="00641916"/>
    <w:rsid w:val="00641F03"/>
    <w:rsid w:val="00643E23"/>
    <w:rsid w:val="00644FDD"/>
    <w:rsid w:val="00654B15"/>
    <w:rsid w:val="00654EC4"/>
    <w:rsid w:val="006576BC"/>
    <w:rsid w:val="00661933"/>
    <w:rsid w:val="00672B2D"/>
    <w:rsid w:val="0067379F"/>
    <w:rsid w:val="00677760"/>
    <w:rsid w:val="006879EC"/>
    <w:rsid w:val="00694C94"/>
    <w:rsid w:val="006963C6"/>
    <w:rsid w:val="00697087"/>
    <w:rsid w:val="006A2BEE"/>
    <w:rsid w:val="006A4F57"/>
    <w:rsid w:val="006A5672"/>
    <w:rsid w:val="006A6B20"/>
    <w:rsid w:val="006A7F62"/>
    <w:rsid w:val="006B0D80"/>
    <w:rsid w:val="006B2E45"/>
    <w:rsid w:val="006B6A3D"/>
    <w:rsid w:val="006C1969"/>
    <w:rsid w:val="006C3890"/>
    <w:rsid w:val="006C4560"/>
    <w:rsid w:val="006E00D7"/>
    <w:rsid w:val="006E26F0"/>
    <w:rsid w:val="006E3C5A"/>
    <w:rsid w:val="006E4C09"/>
    <w:rsid w:val="006E6939"/>
    <w:rsid w:val="006E7435"/>
    <w:rsid w:val="006E778B"/>
    <w:rsid w:val="006F0300"/>
    <w:rsid w:val="006F0FDC"/>
    <w:rsid w:val="006F5129"/>
    <w:rsid w:val="006F7BD1"/>
    <w:rsid w:val="0070177E"/>
    <w:rsid w:val="00704557"/>
    <w:rsid w:val="0070565C"/>
    <w:rsid w:val="007068FD"/>
    <w:rsid w:val="00711634"/>
    <w:rsid w:val="00711D1B"/>
    <w:rsid w:val="00712A2F"/>
    <w:rsid w:val="00715D6E"/>
    <w:rsid w:val="00716E4A"/>
    <w:rsid w:val="007172A1"/>
    <w:rsid w:val="00721B0A"/>
    <w:rsid w:val="007228FE"/>
    <w:rsid w:val="0072328B"/>
    <w:rsid w:val="00727DBB"/>
    <w:rsid w:val="00735C2D"/>
    <w:rsid w:val="007369AF"/>
    <w:rsid w:val="00736EE7"/>
    <w:rsid w:val="00740454"/>
    <w:rsid w:val="007419F5"/>
    <w:rsid w:val="00742047"/>
    <w:rsid w:val="007430AD"/>
    <w:rsid w:val="007479AE"/>
    <w:rsid w:val="007555A0"/>
    <w:rsid w:val="00757867"/>
    <w:rsid w:val="00760FC8"/>
    <w:rsid w:val="00762B54"/>
    <w:rsid w:val="007636F1"/>
    <w:rsid w:val="00766170"/>
    <w:rsid w:val="00767918"/>
    <w:rsid w:val="00771628"/>
    <w:rsid w:val="00772704"/>
    <w:rsid w:val="0077332E"/>
    <w:rsid w:val="00775497"/>
    <w:rsid w:val="0078019F"/>
    <w:rsid w:val="00782B99"/>
    <w:rsid w:val="007842B2"/>
    <w:rsid w:val="007848C1"/>
    <w:rsid w:val="00784E6B"/>
    <w:rsid w:val="00785B24"/>
    <w:rsid w:val="00785FCB"/>
    <w:rsid w:val="007860E8"/>
    <w:rsid w:val="00792548"/>
    <w:rsid w:val="0079396D"/>
    <w:rsid w:val="007941A6"/>
    <w:rsid w:val="007959A5"/>
    <w:rsid w:val="00796FBD"/>
    <w:rsid w:val="0079720B"/>
    <w:rsid w:val="00797BE4"/>
    <w:rsid w:val="007A092E"/>
    <w:rsid w:val="007A3329"/>
    <w:rsid w:val="007A4F66"/>
    <w:rsid w:val="007A62A8"/>
    <w:rsid w:val="007A6674"/>
    <w:rsid w:val="007A6770"/>
    <w:rsid w:val="007A69DE"/>
    <w:rsid w:val="007B365B"/>
    <w:rsid w:val="007B3C52"/>
    <w:rsid w:val="007B55A6"/>
    <w:rsid w:val="007B5816"/>
    <w:rsid w:val="007B596D"/>
    <w:rsid w:val="007B5F2D"/>
    <w:rsid w:val="007C3423"/>
    <w:rsid w:val="007D2A99"/>
    <w:rsid w:val="007D4FC1"/>
    <w:rsid w:val="007E42D5"/>
    <w:rsid w:val="007E438C"/>
    <w:rsid w:val="007E5012"/>
    <w:rsid w:val="007F08EC"/>
    <w:rsid w:val="007F2D38"/>
    <w:rsid w:val="007F3B85"/>
    <w:rsid w:val="007F3DF1"/>
    <w:rsid w:val="007F5336"/>
    <w:rsid w:val="007F7CE1"/>
    <w:rsid w:val="00800FCF"/>
    <w:rsid w:val="00801772"/>
    <w:rsid w:val="008109DA"/>
    <w:rsid w:val="008142DE"/>
    <w:rsid w:val="00814662"/>
    <w:rsid w:val="00814D67"/>
    <w:rsid w:val="00821480"/>
    <w:rsid w:val="008224B4"/>
    <w:rsid w:val="00823FE1"/>
    <w:rsid w:val="008242CA"/>
    <w:rsid w:val="0082493B"/>
    <w:rsid w:val="008312A9"/>
    <w:rsid w:val="00831F3F"/>
    <w:rsid w:val="00834B19"/>
    <w:rsid w:val="00835C3E"/>
    <w:rsid w:val="008364E4"/>
    <w:rsid w:val="00836964"/>
    <w:rsid w:val="0084036F"/>
    <w:rsid w:val="0084736B"/>
    <w:rsid w:val="0084738A"/>
    <w:rsid w:val="00851102"/>
    <w:rsid w:val="00851B1A"/>
    <w:rsid w:val="00853CDE"/>
    <w:rsid w:val="00856EDE"/>
    <w:rsid w:val="00862AF0"/>
    <w:rsid w:val="00864B45"/>
    <w:rsid w:val="00866D1F"/>
    <w:rsid w:val="00873597"/>
    <w:rsid w:val="00875576"/>
    <w:rsid w:val="00880B93"/>
    <w:rsid w:val="00883E5A"/>
    <w:rsid w:val="00884EE2"/>
    <w:rsid w:val="00890032"/>
    <w:rsid w:val="0089046C"/>
    <w:rsid w:val="00890501"/>
    <w:rsid w:val="00890EAC"/>
    <w:rsid w:val="008916FD"/>
    <w:rsid w:val="00892C99"/>
    <w:rsid w:val="00894132"/>
    <w:rsid w:val="00896380"/>
    <w:rsid w:val="008973B8"/>
    <w:rsid w:val="008A07B8"/>
    <w:rsid w:val="008A4417"/>
    <w:rsid w:val="008A49FB"/>
    <w:rsid w:val="008B1189"/>
    <w:rsid w:val="008B53F5"/>
    <w:rsid w:val="008B6102"/>
    <w:rsid w:val="008C04B4"/>
    <w:rsid w:val="008C1C4C"/>
    <w:rsid w:val="008C309F"/>
    <w:rsid w:val="008C3A9E"/>
    <w:rsid w:val="008C7DE2"/>
    <w:rsid w:val="008D4143"/>
    <w:rsid w:val="008D4DA0"/>
    <w:rsid w:val="008D605D"/>
    <w:rsid w:val="008E0D52"/>
    <w:rsid w:val="008E0FBD"/>
    <w:rsid w:val="008E1CA2"/>
    <w:rsid w:val="008E2B89"/>
    <w:rsid w:val="008E2ECD"/>
    <w:rsid w:val="008E484B"/>
    <w:rsid w:val="008E6003"/>
    <w:rsid w:val="008E6178"/>
    <w:rsid w:val="008E6611"/>
    <w:rsid w:val="008E70CD"/>
    <w:rsid w:val="008E7A09"/>
    <w:rsid w:val="008F0FB3"/>
    <w:rsid w:val="008F1AC9"/>
    <w:rsid w:val="008F22E4"/>
    <w:rsid w:val="008F3819"/>
    <w:rsid w:val="008F4E4D"/>
    <w:rsid w:val="008F58A8"/>
    <w:rsid w:val="008F6238"/>
    <w:rsid w:val="008F63BC"/>
    <w:rsid w:val="008F7B4D"/>
    <w:rsid w:val="0090143A"/>
    <w:rsid w:val="009014FD"/>
    <w:rsid w:val="00902E2F"/>
    <w:rsid w:val="009034B2"/>
    <w:rsid w:val="0090553C"/>
    <w:rsid w:val="0090609A"/>
    <w:rsid w:val="00906901"/>
    <w:rsid w:val="0091297D"/>
    <w:rsid w:val="00921B2E"/>
    <w:rsid w:val="00921C8A"/>
    <w:rsid w:val="0092411F"/>
    <w:rsid w:val="0092606B"/>
    <w:rsid w:val="00926EBD"/>
    <w:rsid w:val="0092793D"/>
    <w:rsid w:val="009314CF"/>
    <w:rsid w:val="009322BF"/>
    <w:rsid w:val="009333A4"/>
    <w:rsid w:val="00937FCE"/>
    <w:rsid w:val="00940690"/>
    <w:rsid w:val="009409B5"/>
    <w:rsid w:val="0094265F"/>
    <w:rsid w:val="009476DA"/>
    <w:rsid w:val="00952E72"/>
    <w:rsid w:val="009533EA"/>
    <w:rsid w:val="009552F2"/>
    <w:rsid w:val="00955D9F"/>
    <w:rsid w:val="00956977"/>
    <w:rsid w:val="00961364"/>
    <w:rsid w:val="00963301"/>
    <w:rsid w:val="0096744C"/>
    <w:rsid w:val="00970807"/>
    <w:rsid w:val="00971607"/>
    <w:rsid w:val="00972095"/>
    <w:rsid w:val="00974C71"/>
    <w:rsid w:val="00975CE6"/>
    <w:rsid w:val="00976C9C"/>
    <w:rsid w:val="00977D40"/>
    <w:rsid w:val="00980213"/>
    <w:rsid w:val="00983E5B"/>
    <w:rsid w:val="00987B8E"/>
    <w:rsid w:val="00990CFC"/>
    <w:rsid w:val="009930C7"/>
    <w:rsid w:val="009965B2"/>
    <w:rsid w:val="00996BF0"/>
    <w:rsid w:val="009A1BD5"/>
    <w:rsid w:val="009A4A77"/>
    <w:rsid w:val="009A6186"/>
    <w:rsid w:val="009A6696"/>
    <w:rsid w:val="009B0317"/>
    <w:rsid w:val="009B222C"/>
    <w:rsid w:val="009C1BEC"/>
    <w:rsid w:val="009C49AB"/>
    <w:rsid w:val="009C4B88"/>
    <w:rsid w:val="009C5D81"/>
    <w:rsid w:val="009C60B7"/>
    <w:rsid w:val="009C70CB"/>
    <w:rsid w:val="009D1FA4"/>
    <w:rsid w:val="009D298A"/>
    <w:rsid w:val="009D2BB7"/>
    <w:rsid w:val="009D4780"/>
    <w:rsid w:val="009D7F26"/>
    <w:rsid w:val="009E17DF"/>
    <w:rsid w:val="009E4AAF"/>
    <w:rsid w:val="009E508B"/>
    <w:rsid w:val="009E621F"/>
    <w:rsid w:val="009E7ADB"/>
    <w:rsid w:val="009F427B"/>
    <w:rsid w:val="009F5E91"/>
    <w:rsid w:val="009F673D"/>
    <w:rsid w:val="009F6F7D"/>
    <w:rsid w:val="00A01C5F"/>
    <w:rsid w:val="00A063B4"/>
    <w:rsid w:val="00A06B67"/>
    <w:rsid w:val="00A07588"/>
    <w:rsid w:val="00A10094"/>
    <w:rsid w:val="00A1071E"/>
    <w:rsid w:val="00A11D20"/>
    <w:rsid w:val="00A12C8D"/>
    <w:rsid w:val="00A1336C"/>
    <w:rsid w:val="00A13CE4"/>
    <w:rsid w:val="00A1469C"/>
    <w:rsid w:val="00A14BEE"/>
    <w:rsid w:val="00A24F1E"/>
    <w:rsid w:val="00A25B32"/>
    <w:rsid w:val="00A2609A"/>
    <w:rsid w:val="00A3444A"/>
    <w:rsid w:val="00A4361C"/>
    <w:rsid w:val="00A46114"/>
    <w:rsid w:val="00A50A2A"/>
    <w:rsid w:val="00A54BF9"/>
    <w:rsid w:val="00A551FB"/>
    <w:rsid w:val="00A5722B"/>
    <w:rsid w:val="00A60A07"/>
    <w:rsid w:val="00A62B70"/>
    <w:rsid w:val="00A66098"/>
    <w:rsid w:val="00A70B3E"/>
    <w:rsid w:val="00A72E64"/>
    <w:rsid w:val="00A75184"/>
    <w:rsid w:val="00A855C6"/>
    <w:rsid w:val="00A920A3"/>
    <w:rsid w:val="00A92367"/>
    <w:rsid w:val="00A94A7A"/>
    <w:rsid w:val="00A95B96"/>
    <w:rsid w:val="00A966E8"/>
    <w:rsid w:val="00A9755E"/>
    <w:rsid w:val="00AA09F4"/>
    <w:rsid w:val="00AA1142"/>
    <w:rsid w:val="00AA18C3"/>
    <w:rsid w:val="00AA3745"/>
    <w:rsid w:val="00AA6756"/>
    <w:rsid w:val="00AB3F25"/>
    <w:rsid w:val="00AB40E3"/>
    <w:rsid w:val="00AC094E"/>
    <w:rsid w:val="00AC2452"/>
    <w:rsid w:val="00AC3B0A"/>
    <w:rsid w:val="00AC4BA9"/>
    <w:rsid w:val="00AD7852"/>
    <w:rsid w:val="00AE1C5D"/>
    <w:rsid w:val="00AE36F3"/>
    <w:rsid w:val="00AE6D63"/>
    <w:rsid w:val="00AF46B2"/>
    <w:rsid w:val="00AF61F4"/>
    <w:rsid w:val="00AF7A4B"/>
    <w:rsid w:val="00B003C7"/>
    <w:rsid w:val="00B02B14"/>
    <w:rsid w:val="00B0633D"/>
    <w:rsid w:val="00B077EA"/>
    <w:rsid w:val="00B10D4F"/>
    <w:rsid w:val="00B157F5"/>
    <w:rsid w:val="00B21EF4"/>
    <w:rsid w:val="00B2541A"/>
    <w:rsid w:val="00B262B5"/>
    <w:rsid w:val="00B307B8"/>
    <w:rsid w:val="00B31B62"/>
    <w:rsid w:val="00B321C3"/>
    <w:rsid w:val="00B32D49"/>
    <w:rsid w:val="00B34674"/>
    <w:rsid w:val="00B351EA"/>
    <w:rsid w:val="00B3654E"/>
    <w:rsid w:val="00B42A75"/>
    <w:rsid w:val="00B43AA3"/>
    <w:rsid w:val="00B4431E"/>
    <w:rsid w:val="00B5137A"/>
    <w:rsid w:val="00B53436"/>
    <w:rsid w:val="00B55FDA"/>
    <w:rsid w:val="00B56CAD"/>
    <w:rsid w:val="00B6119E"/>
    <w:rsid w:val="00B65A39"/>
    <w:rsid w:val="00B65B14"/>
    <w:rsid w:val="00B7009E"/>
    <w:rsid w:val="00B709BA"/>
    <w:rsid w:val="00B828F0"/>
    <w:rsid w:val="00B863D2"/>
    <w:rsid w:val="00B8780C"/>
    <w:rsid w:val="00B91081"/>
    <w:rsid w:val="00B91B18"/>
    <w:rsid w:val="00B95EC6"/>
    <w:rsid w:val="00B96AC4"/>
    <w:rsid w:val="00B96C29"/>
    <w:rsid w:val="00B97532"/>
    <w:rsid w:val="00BA0819"/>
    <w:rsid w:val="00BA273A"/>
    <w:rsid w:val="00BA2DC6"/>
    <w:rsid w:val="00BB0E47"/>
    <w:rsid w:val="00BB0F1E"/>
    <w:rsid w:val="00BB17D4"/>
    <w:rsid w:val="00BB4182"/>
    <w:rsid w:val="00BB7103"/>
    <w:rsid w:val="00BB7730"/>
    <w:rsid w:val="00BC1B52"/>
    <w:rsid w:val="00BC1C84"/>
    <w:rsid w:val="00BC22FF"/>
    <w:rsid w:val="00BC438D"/>
    <w:rsid w:val="00BD4B6C"/>
    <w:rsid w:val="00BD75DC"/>
    <w:rsid w:val="00BE1EF8"/>
    <w:rsid w:val="00BE5A60"/>
    <w:rsid w:val="00BE67B5"/>
    <w:rsid w:val="00BF0F8E"/>
    <w:rsid w:val="00BF1722"/>
    <w:rsid w:val="00BF6BEF"/>
    <w:rsid w:val="00BF7D53"/>
    <w:rsid w:val="00C00660"/>
    <w:rsid w:val="00C00F95"/>
    <w:rsid w:val="00C01EAA"/>
    <w:rsid w:val="00C04E68"/>
    <w:rsid w:val="00C0504B"/>
    <w:rsid w:val="00C05CFC"/>
    <w:rsid w:val="00C11EE5"/>
    <w:rsid w:val="00C12B0E"/>
    <w:rsid w:val="00C140F1"/>
    <w:rsid w:val="00C1494E"/>
    <w:rsid w:val="00C14AE0"/>
    <w:rsid w:val="00C15DED"/>
    <w:rsid w:val="00C15EF1"/>
    <w:rsid w:val="00C20566"/>
    <w:rsid w:val="00C224B1"/>
    <w:rsid w:val="00C242D2"/>
    <w:rsid w:val="00C2782B"/>
    <w:rsid w:val="00C320F4"/>
    <w:rsid w:val="00C323CF"/>
    <w:rsid w:val="00C33376"/>
    <w:rsid w:val="00C36ECD"/>
    <w:rsid w:val="00C37B25"/>
    <w:rsid w:val="00C415E3"/>
    <w:rsid w:val="00C44E01"/>
    <w:rsid w:val="00C47675"/>
    <w:rsid w:val="00C52DCF"/>
    <w:rsid w:val="00C547CE"/>
    <w:rsid w:val="00C5517E"/>
    <w:rsid w:val="00C5525A"/>
    <w:rsid w:val="00C55762"/>
    <w:rsid w:val="00C57511"/>
    <w:rsid w:val="00C57C64"/>
    <w:rsid w:val="00C66C6E"/>
    <w:rsid w:val="00C67121"/>
    <w:rsid w:val="00C679E3"/>
    <w:rsid w:val="00C7439D"/>
    <w:rsid w:val="00C76AC4"/>
    <w:rsid w:val="00C8014E"/>
    <w:rsid w:val="00C80683"/>
    <w:rsid w:val="00C82DA3"/>
    <w:rsid w:val="00C845AC"/>
    <w:rsid w:val="00C878C4"/>
    <w:rsid w:val="00C909D6"/>
    <w:rsid w:val="00C96594"/>
    <w:rsid w:val="00CA0E27"/>
    <w:rsid w:val="00CA148C"/>
    <w:rsid w:val="00CA19C9"/>
    <w:rsid w:val="00CA4480"/>
    <w:rsid w:val="00CA774F"/>
    <w:rsid w:val="00CB11D6"/>
    <w:rsid w:val="00CB40FF"/>
    <w:rsid w:val="00CB6041"/>
    <w:rsid w:val="00CB6F0C"/>
    <w:rsid w:val="00CC1F14"/>
    <w:rsid w:val="00CC38BE"/>
    <w:rsid w:val="00CC3A8C"/>
    <w:rsid w:val="00CC56AA"/>
    <w:rsid w:val="00CC65BC"/>
    <w:rsid w:val="00CC7C4F"/>
    <w:rsid w:val="00CD1CB4"/>
    <w:rsid w:val="00CD2B50"/>
    <w:rsid w:val="00CD30CF"/>
    <w:rsid w:val="00CD4548"/>
    <w:rsid w:val="00CD50A7"/>
    <w:rsid w:val="00CD54FE"/>
    <w:rsid w:val="00CD614C"/>
    <w:rsid w:val="00CE6AE0"/>
    <w:rsid w:val="00CF5D17"/>
    <w:rsid w:val="00CF710C"/>
    <w:rsid w:val="00D001BD"/>
    <w:rsid w:val="00D003E4"/>
    <w:rsid w:val="00D07F85"/>
    <w:rsid w:val="00D108B5"/>
    <w:rsid w:val="00D10D71"/>
    <w:rsid w:val="00D14502"/>
    <w:rsid w:val="00D15381"/>
    <w:rsid w:val="00D20A00"/>
    <w:rsid w:val="00D21E02"/>
    <w:rsid w:val="00D22034"/>
    <w:rsid w:val="00D273E7"/>
    <w:rsid w:val="00D3349E"/>
    <w:rsid w:val="00D34376"/>
    <w:rsid w:val="00D40A08"/>
    <w:rsid w:val="00D40C57"/>
    <w:rsid w:val="00D42892"/>
    <w:rsid w:val="00D42F2A"/>
    <w:rsid w:val="00D47668"/>
    <w:rsid w:val="00D51D8C"/>
    <w:rsid w:val="00D529AA"/>
    <w:rsid w:val="00D52B2A"/>
    <w:rsid w:val="00D5417A"/>
    <w:rsid w:val="00D55169"/>
    <w:rsid w:val="00D61A48"/>
    <w:rsid w:val="00D700F5"/>
    <w:rsid w:val="00D7070F"/>
    <w:rsid w:val="00D7183E"/>
    <w:rsid w:val="00D71990"/>
    <w:rsid w:val="00D72863"/>
    <w:rsid w:val="00D73EC1"/>
    <w:rsid w:val="00D76FD5"/>
    <w:rsid w:val="00D8069B"/>
    <w:rsid w:val="00D815A4"/>
    <w:rsid w:val="00D87990"/>
    <w:rsid w:val="00D87C09"/>
    <w:rsid w:val="00D90F01"/>
    <w:rsid w:val="00D9106F"/>
    <w:rsid w:val="00D9121B"/>
    <w:rsid w:val="00DA246E"/>
    <w:rsid w:val="00DA51FE"/>
    <w:rsid w:val="00DA5759"/>
    <w:rsid w:val="00DA7885"/>
    <w:rsid w:val="00DB3971"/>
    <w:rsid w:val="00DB57EC"/>
    <w:rsid w:val="00DB77FC"/>
    <w:rsid w:val="00DC10A5"/>
    <w:rsid w:val="00DC37AD"/>
    <w:rsid w:val="00DC431D"/>
    <w:rsid w:val="00DC4366"/>
    <w:rsid w:val="00DD1113"/>
    <w:rsid w:val="00DD18CF"/>
    <w:rsid w:val="00DD1976"/>
    <w:rsid w:val="00DD7618"/>
    <w:rsid w:val="00DE13A6"/>
    <w:rsid w:val="00DE19D0"/>
    <w:rsid w:val="00DF2E9C"/>
    <w:rsid w:val="00DF4F45"/>
    <w:rsid w:val="00DF60F2"/>
    <w:rsid w:val="00E00453"/>
    <w:rsid w:val="00E02970"/>
    <w:rsid w:val="00E05132"/>
    <w:rsid w:val="00E05370"/>
    <w:rsid w:val="00E07973"/>
    <w:rsid w:val="00E1102D"/>
    <w:rsid w:val="00E115F4"/>
    <w:rsid w:val="00E1243D"/>
    <w:rsid w:val="00E12E43"/>
    <w:rsid w:val="00E1322F"/>
    <w:rsid w:val="00E13399"/>
    <w:rsid w:val="00E15518"/>
    <w:rsid w:val="00E20B28"/>
    <w:rsid w:val="00E22DBA"/>
    <w:rsid w:val="00E22DDD"/>
    <w:rsid w:val="00E27248"/>
    <w:rsid w:val="00E300DE"/>
    <w:rsid w:val="00E4184A"/>
    <w:rsid w:val="00E41DB6"/>
    <w:rsid w:val="00E420E5"/>
    <w:rsid w:val="00E435BE"/>
    <w:rsid w:val="00E444AC"/>
    <w:rsid w:val="00E44731"/>
    <w:rsid w:val="00E4541A"/>
    <w:rsid w:val="00E51C2C"/>
    <w:rsid w:val="00E527B9"/>
    <w:rsid w:val="00E54CFA"/>
    <w:rsid w:val="00E56C48"/>
    <w:rsid w:val="00E61F6E"/>
    <w:rsid w:val="00E64577"/>
    <w:rsid w:val="00E70C06"/>
    <w:rsid w:val="00E732BE"/>
    <w:rsid w:val="00E73A5B"/>
    <w:rsid w:val="00E73F09"/>
    <w:rsid w:val="00E814E6"/>
    <w:rsid w:val="00E8299F"/>
    <w:rsid w:val="00E82A08"/>
    <w:rsid w:val="00E843E9"/>
    <w:rsid w:val="00E86089"/>
    <w:rsid w:val="00E86816"/>
    <w:rsid w:val="00E903CB"/>
    <w:rsid w:val="00E90B95"/>
    <w:rsid w:val="00E92C57"/>
    <w:rsid w:val="00E939C8"/>
    <w:rsid w:val="00E942CD"/>
    <w:rsid w:val="00E95AD9"/>
    <w:rsid w:val="00E97713"/>
    <w:rsid w:val="00EA1264"/>
    <w:rsid w:val="00EA1E63"/>
    <w:rsid w:val="00EA21F2"/>
    <w:rsid w:val="00EA4D6D"/>
    <w:rsid w:val="00EA68EA"/>
    <w:rsid w:val="00EA7C63"/>
    <w:rsid w:val="00EB0899"/>
    <w:rsid w:val="00EB3FF6"/>
    <w:rsid w:val="00EB59F3"/>
    <w:rsid w:val="00EB5ABC"/>
    <w:rsid w:val="00EB5FB9"/>
    <w:rsid w:val="00EC12D9"/>
    <w:rsid w:val="00EC2501"/>
    <w:rsid w:val="00EC2E16"/>
    <w:rsid w:val="00EC4E1D"/>
    <w:rsid w:val="00EC5113"/>
    <w:rsid w:val="00EC5456"/>
    <w:rsid w:val="00EC5924"/>
    <w:rsid w:val="00EC6709"/>
    <w:rsid w:val="00EC6879"/>
    <w:rsid w:val="00EC6A9E"/>
    <w:rsid w:val="00ED560C"/>
    <w:rsid w:val="00ED5D7F"/>
    <w:rsid w:val="00EE03E8"/>
    <w:rsid w:val="00EE117F"/>
    <w:rsid w:val="00EE2660"/>
    <w:rsid w:val="00EE348E"/>
    <w:rsid w:val="00EE4223"/>
    <w:rsid w:val="00EF2A7E"/>
    <w:rsid w:val="00EF444D"/>
    <w:rsid w:val="00EF6675"/>
    <w:rsid w:val="00F0371D"/>
    <w:rsid w:val="00F0390B"/>
    <w:rsid w:val="00F053AF"/>
    <w:rsid w:val="00F05B1C"/>
    <w:rsid w:val="00F0637C"/>
    <w:rsid w:val="00F113A7"/>
    <w:rsid w:val="00F12424"/>
    <w:rsid w:val="00F14309"/>
    <w:rsid w:val="00F1770B"/>
    <w:rsid w:val="00F20BE0"/>
    <w:rsid w:val="00F24091"/>
    <w:rsid w:val="00F244FE"/>
    <w:rsid w:val="00F30906"/>
    <w:rsid w:val="00F33DD3"/>
    <w:rsid w:val="00F35671"/>
    <w:rsid w:val="00F35B91"/>
    <w:rsid w:val="00F40AF8"/>
    <w:rsid w:val="00F512B3"/>
    <w:rsid w:val="00F53DFF"/>
    <w:rsid w:val="00F54560"/>
    <w:rsid w:val="00F559B9"/>
    <w:rsid w:val="00F55E12"/>
    <w:rsid w:val="00F57D71"/>
    <w:rsid w:val="00F6243B"/>
    <w:rsid w:val="00F62B9B"/>
    <w:rsid w:val="00F6407F"/>
    <w:rsid w:val="00F66A7A"/>
    <w:rsid w:val="00F67687"/>
    <w:rsid w:val="00F72648"/>
    <w:rsid w:val="00F72D41"/>
    <w:rsid w:val="00F75734"/>
    <w:rsid w:val="00F76B8C"/>
    <w:rsid w:val="00F777AF"/>
    <w:rsid w:val="00F81B4F"/>
    <w:rsid w:val="00F81D63"/>
    <w:rsid w:val="00F82076"/>
    <w:rsid w:val="00F82B9D"/>
    <w:rsid w:val="00F84B3C"/>
    <w:rsid w:val="00F865CC"/>
    <w:rsid w:val="00F928A1"/>
    <w:rsid w:val="00F93A42"/>
    <w:rsid w:val="00F9446A"/>
    <w:rsid w:val="00F94875"/>
    <w:rsid w:val="00F94974"/>
    <w:rsid w:val="00FA139F"/>
    <w:rsid w:val="00FA7805"/>
    <w:rsid w:val="00FB75A1"/>
    <w:rsid w:val="00FB7FA7"/>
    <w:rsid w:val="00FC0C97"/>
    <w:rsid w:val="00FC0CC7"/>
    <w:rsid w:val="00FC15D9"/>
    <w:rsid w:val="00FC16CD"/>
    <w:rsid w:val="00FC3FFE"/>
    <w:rsid w:val="00FC57CA"/>
    <w:rsid w:val="00FC61A7"/>
    <w:rsid w:val="00FC71AD"/>
    <w:rsid w:val="00FC76E3"/>
    <w:rsid w:val="00FD1C92"/>
    <w:rsid w:val="00FD300B"/>
    <w:rsid w:val="00FD3FDB"/>
    <w:rsid w:val="00FD6A4E"/>
    <w:rsid w:val="00FE2341"/>
    <w:rsid w:val="00FE298F"/>
    <w:rsid w:val="00FE47FF"/>
    <w:rsid w:val="00FF559F"/>
    <w:rsid w:val="00FF7507"/>
    <w:rsid w:val="020146A6"/>
    <w:rsid w:val="03AF3AF2"/>
    <w:rsid w:val="048E7480"/>
    <w:rsid w:val="04C63A4E"/>
    <w:rsid w:val="04D37589"/>
    <w:rsid w:val="05465FAD"/>
    <w:rsid w:val="05E3748F"/>
    <w:rsid w:val="07377EF2"/>
    <w:rsid w:val="07D16BAC"/>
    <w:rsid w:val="08A90268"/>
    <w:rsid w:val="08AF79C5"/>
    <w:rsid w:val="093525C0"/>
    <w:rsid w:val="09356F0C"/>
    <w:rsid w:val="09F4422A"/>
    <w:rsid w:val="0BB7E724"/>
    <w:rsid w:val="0C4522F3"/>
    <w:rsid w:val="0C815AD3"/>
    <w:rsid w:val="0CE02843"/>
    <w:rsid w:val="0D020AC4"/>
    <w:rsid w:val="0D8E71FA"/>
    <w:rsid w:val="0EBA3EC5"/>
    <w:rsid w:val="0EFFEE6F"/>
    <w:rsid w:val="0F7079D7"/>
    <w:rsid w:val="0FF718DB"/>
    <w:rsid w:val="101979D0"/>
    <w:rsid w:val="10D25F0A"/>
    <w:rsid w:val="10F16C5A"/>
    <w:rsid w:val="111927C8"/>
    <w:rsid w:val="114BFEF6"/>
    <w:rsid w:val="124E0381"/>
    <w:rsid w:val="126255B6"/>
    <w:rsid w:val="12CC4C69"/>
    <w:rsid w:val="137FC7FA"/>
    <w:rsid w:val="1426444B"/>
    <w:rsid w:val="143B7B04"/>
    <w:rsid w:val="14D12E48"/>
    <w:rsid w:val="15BB3E4D"/>
    <w:rsid w:val="15DE6DCD"/>
    <w:rsid w:val="15FF2356"/>
    <w:rsid w:val="16105F47"/>
    <w:rsid w:val="161D68B6"/>
    <w:rsid w:val="172D811D"/>
    <w:rsid w:val="17BE01A2"/>
    <w:rsid w:val="17D16C96"/>
    <w:rsid w:val="17D3547E"/>
    <w:rsid w:val="17E58161"/>
    <w:rsid w:val="18D35FC5"/>
    <w:rsid w:val="199D5D64"/>
    <w:rsid w:val="19F87749"/>
    <w:rsid w:val="1AB07CF9"/>
    <w:rsid w:val="1AE326B1"/>
    <w:rsid w:val="1B67AA36"/>
    <w:rsid w:val="1B83C907"/>
    <w:rsid w:val="1BA151F1"/>
    <w:rsid w:val="1BD21EF1"/>
    <w:rsid w:val="1BD336F1"/>
    <w:rsid w:val="1BE20070"/>
    <w:rsid w:val="1C3109C5"/>
    <w:rsid w:val="1C3F3AF6"/>
    <w:rsid w:val="1C790D60"/>
    <w:rsid w:val="1CBB4733"/>
    <w:rsid w:val="1D126A49"/>
    <w:rsid w:val="1D6E3DEC"/>
    <w:rsid w:val="1DDC7655"/>
    <w:rsid w:val="1EC41FC5"/>
    <w:rsid w:val="1EF649F5"/>
    <w:rsid w:val="1F1D18F8"/>
    <w:rsid w:val="1F3D120C"/>
    <w:rsid w:val="1F6D4360"/>
    <w:rsid w:val="1F77A2FD"/>
    <w:rsid w:val="1F8F0357"/>
    <w:rsid w:val="1FBF523B"/>
    <w:rsid w:val="1FCC6D39"/>
    <w:rsid w:val="1FD74BC3"/>
    <w:rsid w:val="1FDF253F"/>
    <w:rsid w:val="1FFB7DDB"/>
    <w:rsid w:val="1FFF3E4A"/>
    <w:rsid w:val="2104473F"/>
    <w:rsid w:val="21CC364E"/>
    <w:rsid w:val="21E1450B"/>
    <w:rsid w:val="22602004"/>
    <w:rsid w:val="226118D9"/>
    <w:rsid w:val="2367434E"/>
    <w:rsid w:val="2383647E"/>
    <w:rsid w:val="23E06530"/>
    <w:rsid w:val="24313071"/>
    <w:rsid w:val="24C16ECE"/>
    <w:rsid w:val="252E1F46"/>
    <w:rsid w:val="25897AC4"/>
    <w:rsid w:val="2604714B"/>
    <w:rsid w:val="2667354B"/>
    <w:rsid w:val="275639D6"/>
    <w:rsid w:val="275F7DA8"/>
    <w:rsid w:val="276F49CE"/>
    <w:rsid w:val="276FD9A5"/>
    <w:rsid w:val="27EBA704"/>
    <w:rsid w:val="28195B1B"/>
    <w:rsid w:val="28A8639A"/>
    <w:rsid w:val="28F1506B"/>
    <w:rsid w:val="293D309F"/>
    <w:rsid w:val="2A0D0373"/>
    <w:rsid w:val="2A106543"/>
    <w:rsid w:val="2A942464"/>
    <w:rsid w:val="2A9FCA1C"/>
    <w:rsid w:val="2AAB4039"/>
    <w:rsid w:val="2B2D658B"/>
    <w:rsid w:val="2B771608"/>
    <w:rsid w:val="2B7B1C5D"/>
    <w:rsid w:val="2BC7C6E5"/>
    <w:rsid w:val="2BD1C070"/>
    <w:rsid w:val="2BFFC506"/>
    <w:rsid w:val="2CFFC0D7"/>
    <w:rsid w:val="2D0677AA"/>
    <w:rsid w:val="2D3E1194"/>
    <w:rsid w:val="2D9B65E7"/>
    <w:rsid w:val="2DB90EF9"/>
    <w:rsid w:val="2DBF0C08"/>
    <w:rsid w:val="2DFD9C11"/>
    <w:rsid w:val="2DFF9A66"/>
    <w:rsid w:val="2E443666"/>
    <w:rsid w:val="2E877C11"/>
    <w:rsid w:val="2EAF4287"/>
    <w:rsid w:val="2EBC8C37"/>
    <w:rsid w:val="2EC701BE"/>
    <w:rsid w:val="2ED85DFF"/>
    <w:rsid w:val="2EF77DDF"/>
    <w:rsid w:val="2EFFCD82"/>
    <w:rsid w:val="2F03522C"/>
    <w:rsid w:val="2F1F9BD2"/>
    <w:rsid w:val="2F439E17"/>
    <w:rsid w:val="2F760A99"/>
    <w:rsid w:val="2FA8323D"/>
    <w:rsid w:val="2FD3051C"/>
    <w:rsid w:val="2FEE5D6E"/>
    <w:rsid w:val="2FEF1616"/>
    <w:rsid w:val="2FF7BDE3"/>
    <w:rsid w:val="2FFD1A47"/>
    <w:rsid w:val="2FFDF7A8"/>
    <w:rsid w:val="2FFF0357"/>
    <w:rsid w:val="301F779B"/>
    <w:rsid w:val="302503E9"/>
    <w:rsid w:val="307D1FD3"/>
    <w:rsid w:val="30A025AC"/>
    <w:rsid w:val="30A216C6"/>
    <w:rsid w:val="31562CFE"/>
    <w:rsid w:val="32FE85D7"/>
    <w:rsid w:val="33DBE44D"/>
    <w:rsid w:val="33FF4E16"/>
    <w:rsid w:val="34826D58"/>
    <w:rsid w:val="34AE2FBC"/>
    <w:rsid w:val="34DC2E98"/>
    <w:rsid w:val="35995434"/>
    <w:rsid w:val="359E3233"/>
    <w:rsid w:val="359F84B7"/>
    <w:rsid w:val="36BF604D"/>
    <w:rsid w:val="37123D99"/>
    <w:rsid w:val="373D3784"/>
    <w:rsid w:val="374003A8"/>
    <w:rsid w:val="37511C4C"/>
    <w:rsid w:val="37A76759"/>
    <w:rsid w:val="37CE6443"/>
    <w:rsid w:val="37CF0DA3"/>
    <w:rsid w:val="37CF80BE"/>
    <w:rsid w:val="37EF0776"/>
    <w:rsid w:val="37FB1480"/>
    <w:rsid w:val="37FF4C9E"/>
    <w:rsid w:val="37FFEBCB"/>
    <w:rsid w:val="38C96EB8"/>
    <w:rsid w:val="38F6A4B6"/>
    <w:rsid w:val="39551D3F"/>
    <w:rsid w:val="39FD38FD"/>
    <w:rsid w:val="3A3D4E7B"/>
    <w:rsid w:val="3AA7FEB6"/>
    <w:rsid w:val="3AC542F0"/>
    <w:rsid w:val="3ACD8468"/>
    <w:rsid w:val="3AF749DF"/>
    <w:rsid w:val="3AFFD58E"/>
    <w:rsid w:val="3B455DE4"/>
    <w:rsid w:val="3BAC5466"/>
    <w:rsid w:val="3BB68138"/>
    <w:rsid w:val="3BBBDE65"/>
    <w:rsid w:val="3BBFD3BB"/>
    <w:rsid w:val="3BF348CF"/>
    <w:rsid w:val="3BFE76B0"/>
    <w:rsid w:val="3C114B0D"/>
    <w:rsid w:val="3C205657"/>
    <w:rsid w:val="3C6C08D5"/>
    <w:rsid w:val="3C6FC076"/>
    <w:rsid w:val="3C6FFAA2"/>
    <w:rsid w:val="3CFA5FAA"/>
    <w:rsid w:val="3CFFEE66"/>
    <w:rsid w:val="3DFE387D"/>
    <w:rsid w:val="3DFFEE7C"/>
    <w:rsid w:val="3E79F1A7"/>
    <w:rsid w:val="3E7B2760"/>
    <w:rsid w:val="3E877EFE"/>
    <w:rsid w:val="3E8C0E61"/>
    <w:rsid w:val="3EDD1B91"/>
    <w:rsid w:val="3EEBA20C"/>
    <w:rsid w:val="3EEFDDB7"/>
    <w:rsid w:val="3EF735D9"/>
    <w:rsid w:val="3EFB7405"/>
    <w:rsid w:val="3EFED20D"/>
    <w:rsid w:val="3F0618BC"/>
    <w:rsid w:val="3F3BD040"/>
    <w:rsid w:val="3F4BA808"/>
    <w:rsid w:val="3F5D0B16"/>
    <w:rsid w:val="3F5DF5F3"/>
    <w:rsid w:val="3F5FB8ED"/>
    <w:rsid w:val="3F670284"/>
    <w:rsid w:val="3F7FBD93"/>
    <w:rsid w:val="3FA32881"/>
    <w:rsid w:val="3FA550A3"/>
    <w:rsid w:val="3FA7DA38"/>
    <w:rsid w:val="3FBF656F"/>
    <w:rsid w:val="3FBFE669"/>
    <w:rsid w:val="3FD372AE"/>
    <w:rsid w:val="3FD93C86"/>
    <w:rsid w:val="3FDBE9A3"/>
    <w:rsid w:val="3FDE9A48"/>
    <w:rsid w:val="3FDFF927"/>
    <w:rsid w:val="3FF51DE1"/>
    <w:rsid w:val="3FF572C5"/>
    <w:rsid w:val="3FF5CD1F"/>
    <w:rsid w:val="3FFD6DBF"/>
    <w:rsid w:val="3FFFF9E7"/>
    <w:rsid w:val="40607700"/>
    <w:rsid w:val="4079691F"/>
    <w:rsid w:val="40A41A93"/>
    <w:rsid w:val="40B90E06"/>
    <w:rsid w:val="42215097"/>
    <w:rsid w:val="43A504BA"/>
    <w:rsid w:val="43AC4C52"/>
    <w:rsid w:val="44730924"/>
    <w:rsid w:val="44876A12"/>
    <w:rsid w:val="44D3620E"/>
    <w:rsid w:val="45973CEF"/>
    <w:rsid w:val="45B77FA3"/>
    <w:rsid w:val="45D72DC2"/>
    <w:rsid w:val="45D96E39"/>
    <w:rsid w:val="45E02BD6"/>
    <w:rsid w:val="46AE60F4"/>
    <w:rsid w:val="46CB3641"/>
    <w:rsid w:val="46E643D7"/>
    <w:rsid w:val="46ED08C9"/>
    <w:rsid w:val="47356B05"/>
    <w:rsid w:val="47B20B8A"/>
    <w:rsid w:val="47B345A6"/>
    <w:rsid w:val="47FCAAEA"/>
    <w:rsid w:val="484E3A67"/>
    <w:rsid w:val="49E93EF3"/>
    <w:rsid w:val="49FE095B"/>
    <w:rsid w:val="4A51609B"/>
    <w:rsid w:val="4AFF2406"/>
    <w:rsid w:val="4BBF65DA"/>
    <w:rsid w:val="4BED4684"/>
    <w:rsid w:val="4BFAFCF3"/>
    <w:rsid w:val="4BFFCC5F"/>
    <w:rsid w:val="4CC0176E"/>
    <w:rsid w:val="4DCFFF41"/>
    <w:rsid w:val="4EB15670"/>
    <w:rsid w:val="4EDCB12A"/>
    <w:rsid w:val="4EE3DD6C"/>
    <w:rsid w:val="4EF7FCA0"/>
    <w:rsid w:val="4F4B3505"/>
    <w:rsid w:val="4F723B25"/>
    <w:rsid w:val="4FFDBD34"/>
    <w:rsid w:val="50601E8C"/>
    <w:rsid w:val="50DA27B6"/>
    <w:rsid w:val="50F21302"/>
    <w:rsid w:val="51DA6E2E"/>
    <w:rsid w:val="532A16EF"/>
    <w:rsid w:val="537F9114"/>
    <w:rsid w:val="539A25EF"/>
    <w:rsid w:val="53FF2B7C"/>
    <w:rsid w:val="53FFDDDC"/>
    <w:rsid w:val="54AC5238"/>
    <w:rsid w:val="54DC4A16"/>
    <w:rsid w:val="54E12281"/>
    <w:rsid w:val="555F480C"/>
    <w:rsid w:val="556C48B2"/>
    <w:rsid w:val="557B3FBF"/>
    <w:rsid w:val="55BD0563"/>
    <w:rsid w:val="55F551C4"/>
    <w:rsid w:val="55FE9C9C"/>
    <w:rsid w:val="56095F34"/>
    <w:rsid w:val="56644F18"/>
    <w:rsid w:val="56D7245A"/>
    <w:rsid w:val="56DB8796"/>
    <w:rsid w:val="56EE535F"/>
    <w:rsid w:val="56FFF6A6"/>
    <w:rsid w:val="5771A885"/>
    <w:rsid w:val="579B3F05"/>
    <w:rsid w:val="579C65E6"/>
    <w:rsid w:val="57EEC431"/>
    <w:rsid w:val="57F7A98C"/>
    <w:rsid w:val="57FDDF69"/>
    <w:rsid w:val="587B1239"/>
    <w:rsid w:val="587D54D2"/>
    <w:rsid w:val="58E6255C"/>
    <w:rsid w:val="58F86605"/>
    <w:rsid w:val="59661043"/>
    <w:rsid w:val="596D6B0E"/>
    <w:rsid w:val="59C962AE"/>
    <w:rsid w:val="59EE8664"/>
    <w:rsid w:val="5A9A56A7"/>
    <w:rsid w:val="5AA82D47"/>
    <w:rsid w:val="5B2737C9"/>
    <w:rsid w:val="5B3B97D7"/>
    <w:rsid w:val="5B74034D"/>
    <w:rsid w:val="5BED7E68"/>
    <w:rsid w:val="5BF7A2FB"/>
    <w:rsid w:val="5D5A3094"/>
    <w:rsid w:val="5D7F1902"/>
    <w:rsid w:val="5DEBDA6C"/>
    <w:rsid w:val="5DEE6593"/>
    <w:rsid w:val="5DFD4F3E"/>
    <w:rsid w:val="5DFDB68C"/>
    <w:rsid w:val="5E031D2B"/>
    <w:rsid w:val="5E5E797C"/>
    <w:rsid w:val="5E6C6370"/>
    <w:rsid w:val="5E9252CE"/>
    <w:rsid w:val="5EE9572C"/>
    <w:rsid w:val="5EEF1BD8"/>
    <w:rsid w:val="5F1FB7D9"/>
    <w:rsid w:val="5F2D1BC9"/>
    <w:rsid w:val="5F6E6207"/>
    <w:rsid w:val="5FA60BFB"/>
    <w:rsid w:val="5FAF3533"/>
    <w:rsid w:val="5FBA083B"/>
    <w:rsid w:val="5FCEC4D2"/>
    <w:rsid w:val="5FDBA037"/>
    <w:rsid w:val="5FDE19A8"/>
    <w:rsid w:val="5FEE07DF"/>
    <w:rsid w:val="5FF5F158"/>
    <w:rsid w:val="5FFF1E07"/>
    <w:rsid w:val="5FFF4B3B"/>
    <w:rsid w:val="5FFFB28C"/>
    <w:rsid w:val="602B09DB"/>
    <w:rsid w:val="6057032F"/>
    <w:rsid w:val="606D6F8A"/>
    <w:rsid w:val="611B5D7B"/>
    <w:rsid w:val="617F71FB"/>
    <w:rsid w:val="61840796"/>
    <w:rsid w:val="61BEF5FD"/>
    <w:rsid w:val="623B7475"/>
    <w:rsid w:val="63AD798B"/>
    <w:rsid w:val="63FB98B2"/>
    <w:rsid w:val="643A042B"/>
    <w:rsid w:val="64811A44"/>
    <w:rsid w:val="64B23FC8"/>
    <w:rsid w:val="653808EA"/>
    <w:rsid w:val="653A53E1"/>
    <w:rsid w:val="653DB7FB"/>
    <w:rsid w:val="65D5198E"/>
    <w:rsid w:val="65F3BFB9"/>
    <w:rsid w:val="65FF7F68"/>
    <w:rsid w:val="66DB14FC"/>
    <w:rsid w:val="6775216A"/>
    <w:rsid w:val="67A4177C"/>
    <w:rsid w:val="67BC5B0E"/>
    <w:rsid w:val="67D774C8"/>
    <w:rsid w:val="67F6B670"/>
    <w:rsid w:val="68FFD86D"/>
    <w:rsid w:val="69360A74"/>
    <w:rsid w:val="695D595D"/>
    <w:rsid w:val="69C53DEF"/>
    <w:rsid w:val="6ADE5D7E"/>
    <w:rsid w:val="6AE04138"/>
    <w:rsid w:val="6AFE50E4"/>
    <w:rsid w:val="6AFF9BC6"/>
    <w:rsid w:val="6B312601"/>
    <w:rsid w:val="6B3FAD46"/>
    <w:rsid w:val="6BCA1B9F"/>
    <w:rsid w:val="6BDC1804"/>
    <w:rsid w:val="6BF21607"/>
    <w:rsid w:val="6BF61163"/>
    <w:rsid w:val="6BF70A9C"/>
    <w:rsid w:val="6BFF0FC7"/>
    <w:rsid w:val="6C2F1D19"/>
    <w:rsid w:val="6C575D5F"/>
    <w:rsid w:val="6C953C26"/>
    <w:rsid w:val="6C96573B"/>
    <w:rsid w:val="6CC87B57"/>
    <w:rsid w:val="6CD72490"/>
    <w:rsid w:val="6CD7CA48"/>
    <w:rsid w:val="6CFF73EB"/>
    <w:rsid w:val="6D3D05DF"/>
    <w:rsid w:val="6D4F106F"/>
    <w:rsid w:val="6D6FEFD6"/>
    <w:rsid w:val="6DAF8079"/>
    <w:rsid w:val="6DB7BEBB"/>
    <w:rsid w:val="6DDF398B"/>
    <w:rsid w:val="6DE0B412"/>
    <w:rsid w:val="6DF702B6"/>
    <w:rsid w:val="6DFFB37B"/>
    <w:rsid w:val="6DFFC96A"/>
    <w:rsid w:val="6EB6A4D1"/>
    <w:rsid w:val="6EBEEB9D"/>
    <w:rsid w:val="6EF25587"/>
    <w:rsid w:val="6EFB5F2B"/>
    <w:rsid w:val="6EFB6446"/>
    <w:rsid w:val="6EFF02D0"/>
    <w:rsid w:val="6EFF485A"/>
    <w:rsid w:val="6EFF681F"/>
    <w:rsid w:val="6F0532E4"/>
    <w:rsid w:val="6F3C7C9D"/>
    <w:rsid w:val="6F6F4BA7"/>
    <w:rsid w:val="6F7215FF"/>
    <w:rsid w:val="6F7338A2"/>
    <w:rsid w:val="6F7344CF"/>
    <w:rsid w:val="6F7FAA8B"/>
    <w:rsid w:val="6F7FB6DB"/>
    <w:rsid w:val="6FB34CEC"/>
    <w:rsid w:val="6FB9980E"/>
    <w:rsid w:val="6FBE4CDC"/>
    <w:rsid w:val="6FC51D1F"/>
    <w:rsid w:val="6FC94230"/>
    <w:rsid w:val="6FD15666"/>
    <w:rsid w:val="6FD37666"/>
    <w:rsid w:val="6FDF83B9"/>
    <w:rsid w:val="6FE36FAB"/>
    <w:rsid w:val="6FF59113"/>
    <w:rsid w:val="6FFC9F97"/>
    <w:rsid w:val="6FFD5D1E"/>
    <w:rsid w:val="6FFF4738"/>
    <w:rsid w:val="6FFFC4A5"/>
    <w:rsid w:val="6FFFE2E5"/>
    <w:rsid w:val="700E016A"/>
    <w:rsid w:val="70543990"/>
    <w:rsid w:val="70561B6D"/>
    <w:rsid w:val="707F8565"/>
    <w:rsid w:val="70FC189E"/>
    <w:rsid w:val="71986A00"/>
    <w:rsid w:val="71A34A37"/>
    <w:rsid w:val="72383B8D"/>
    <w:rsid w:val="723B526F"/>
    <w:rsid w:val="725D4CF9"/>
    <w:rsid w:val="7389C0C6"/>
    <w:rsid w:val="73A11890"/>
    <w:rsid w:val="73B3370A"/>
    <w:rsid w:val="73FFFB39"/>
    <w:rsid w:val="74060A0E"/>
    <w:rsid w:val="74A76278"/>
    <w:rsid w:val="74FC3B80"/>
    <w:rsid w:val="74FFEAD0"/>
    <w:rsid w:val="75DBD383"/>
    <w:rsid w:val="75DC7108"/>
    <w:rsid w:val="75DFC74F"/>
    <w:rsid w:val="75ECAD69"/>
    <w:rsid w:val="75F7D062"/>
    <w:rsid w:val="75FE05E2"/>
    <w:rsid w:val="75FFBD44"/>
    <w:rsid w:val="761756AB"/>
    <w:rsid w:val="763B19C1"/>
    <w:rsid w:val="768244D5"/>
    <w:rsid w:val="76984A3E"/>
    <w:rsid w:val="769FD21B"/>
    <w:rsid w:val="76B91468"/>
    <w:rsid w:val="76BA32E0"/>
    <w:rsid w:val="76EDC593"/>
    <w:rsid w:val="76F6E321"/>
    <w:rsid w:val="76F86075"/>
    <w:rsid w:val="7717EE90"/>
    <w:rsid w:val="772F01D7"/>
    <w:rsid w:val="773F1534"/>
    <w:rsid w:val="773F5203"/>
    <w:rsid w:val="773F8B9A"/>
    <w:rsid w:val="773FAA67"/>
    <w:rsid w:val="774F4818"/>
    <w:rsid w:val="776B801F"/>
    <w:rsid w:val="777D2176"/>
    <w:rsid w:val="777EF2AD"/>
    <w:rsid w:val="7785382E"/>
    <w:rsid w:val="778A0471"/>
    <w:rsid w:val="779B8A99"/>
    <w:rsid w:val="77DDF650"/>
    <w:rsid w:val="77E38A3E"/>
    <w:rsid w:val="77E68842"/>
    <w:rsid w:val="77EFCF6A"/>
    <w:rsid w:val="77EFF182"/>
    <w:rsid w:val="77EFFB6A"/>
    <w:rsid w:val="77FD4B0B"/>
    <w:rsid w:val="77FF4B81"/>
    <w:rsid w:val="77FFC3CB"/>
    <w:rsid w:val="77FFC9F7"/>
    <w:rsid w:val="78526E6F"/>
    <w:rsid w:val="7883527A"/>
    <w:rsid w:val="78A82EFF"/>
    <w:rsid w:val="78AB3651"/>
    <w:rsid w:val="78EA0668"/>
    <w:rsid w:val="78FD8B2D"/>
    <w:rsid w:val="797D02DC"/>
    <w:rsid w:val="797EC7EA"/>
    <w:rsid w:val="79905EA0"/>
    <w:rsid w:val="79A304B3"/>
    <w:rsid w:val="79A635C8"/>
    <w:rsid w:val="79D42231"/>
    <w:rsid w:val="79F00F4C"/>
    <w:rsid w:val="79F921EF"/>
    <w:rsid w:val="79FE0037"/>
    <w:rsid w:val="79FF6BB5"/>
    <w:rsid w:val="7A164D8B"/>
    <w:rsid w:val="7A3EEF5B"/>
    <w:rsid w:val="7A41719B"/>
    <w:rsid w:val="7A7D5BE9"/>
    <w:rsid w:val="7A8EC954"/>
    <w:rsid w:val="7A8F6CE2"/>
    <w:rsid w:val="7A902BE2"/>
    <w:rsid w:val="7AA5653A"/>
    <w:rsid w:val="7ABEB752"/>
    <w:rsid w:val="7ADB6915"/>
    <w:rsid w:val="7ADBFA56"/>
    <w:rsid w:val="7AFABECD"/>
    <w:rsid w:val="7B1F53A5"/>
    <w:rsid w:val="7B3BE2A7"/>
    <w:rsid w:val="7B3F5D8E"/>
    <w:rsid w:val="7B5BB7FC"/>
    <w:rsid w:val="7B5C1581"/>
    <w:rsid w:val="7B5D09BB"/>
    <w:rsid w:val="7B6812F4"/>
    <w:rsid w:val="7B6F222C"/>
    <w:rsid w:val="7B7CC541"/>
    <w:rsid w:val="7BBE1A47"/>
    <w:rsid w:val="7BBF601C"/>
    <w:rsid w:val="7BBFACE1"/>
    <w:rsid w:val="7BC79AD3"/>
    <w:rsid w:val="7BD7BDF3"/>
    <w:rsid w:val="7BDB7E26"/>
    <w:rsid w:val="7BEB5610"/>
    <w:rsid w:val="7BEB66F7"/>
    <w:rsid w:val="7BFBEE76"/>
    <w:rsid w:val="7BFD41BF"/>
    <w:rsid w:val="7BFF72DF"/>
    <w:rsid w:val="7BFF7804"/>
    <w:rsid w:val="7C661B4B"/>
    <w:rsid w:val="7CBFE3BF"/>
    <w:rsid w:val="7CD119D9"/>
    <w:rsid w:val="7CD33F19"/>
    <w:rsid w:val="7CDB7958"/>
    <w:rsid w:val="7CEF2F6D"/>
    <w:rsid w:val="7CF59D6F"/>
    <w:rsid w:val="7D2E2D89"/>
    <w:rsid w:val="7D6C5685"/>
    <w:rsid w:val="7D7BE0C2"/>
    <w:rsid w:val="7D7FC4E2"/>
    <w:rsid w:val="7D97123E"/>
    <w:rsid w:val="7DC7836B"/>
    <w:rsid w:val="7DCF5953"/>
    <w:rsid w:val="7DCF8E6B"/>
    <w:rsid w:val="7DE71950"/>
    <w:rsid w:val="7DF760EB"/>
    <w:rsid w:val="7DF79D3F"/>
    <w:rsid w:val="7DFD6504"/>
    <w:rsid w:val="7DFDF0F4"/>
    <w:rsid w:val="7E185081"/>
    <w:rsid w:val="7E3E1896"/>
    <w:rsid w:val="7E3F477D"/>
    <w:rsid w:val="7E432F56"/>
    <w:rsid w:val="7E734D56"/>
    <w:rsid w:val="7EADDFD3"/>
    <w:rsid w:val="7EB4E983"/>
    <w:rsid w:val="7EB71A67"/>
    <w:rsid w:val="7EBD0AA0"/>
    <w:rsid w:val="7EBD53CB"/>
    <w:rsid w:val="7EBEA17D"/>
    <w:rsid w:val="7EBFDBF6"/>
    <w:rsid w:val="7EBFDDE9"/>
    <w:rsid w:val="7ECD7006"/>
    <w:rsid w:val="7EE7D803"/>
    <w:rsid w:val="7EE7E6FB"/>
    <w:rsid w:val="7EEA2DBC"/>
    <w:rsid w:val="7EEB2CB7"/>
    <w:rsid w:val="7EF19484"/>
    <w:rsid w:val="7EFDC5DB"/>
    <w:rsid w:val="7EFF0805"/>
    <w:rsid w:val="7EFF5013"/>
    <w:rsid w:val="7EFF8356"/>
    <w:rsid w:val="7F3B8E38"/>
    <w:rsid w:val="7F3E180F"/>
    <w:rsid w:val="7F5FA5D8"/>
    <w:rsid w:val="7F629529"/>
    <w:rsid w:val="7F6C990E"/>
    <w:rsid w:val="7F7A5EA9"/>
    <w:rsid w:val="7F7B6CF5"/>
    <w:rsid w:val="7F7D58EC"/>
    <w:rsid w:val="7F7E3024"/>
    <w:rsid w:val="7F7E5616"/>
    <w:rsid w:val="7F7E6D22"/>
    <w:rsid w:val="7F7EBE33"/>
    <w:rsid w:val="7F9363BC"/>
    <w:rsid w:val="7F9D4F65"/>
    <w:rsid w:val="7F9DFF0F"/>
    <w:rsid w:val="7F9F4C0C"/>
    <w:rsid w:val="7FA166E7"/>
    <w:rsid w:val="7FAB6880"/>
    <w:rsid w:val="7FADED11"/>
    <w:rsid w:val="7FB626EA"/>
    <w:rsid w:val="7FB9C7CE"/>
    <w:rsid w:val="7FBB9A41"/>
    <w:rsid w:val="7FBD1D99"/>
    <w:rsid w:val="7FBD59D0"/>
    <w:rsid w:val="7FBE77B3"/>
    <w:rsid w:val="7FBEAECD"/>
    <w:rsid w:val="7FBF9429"/>
    <w:rsid w:val="7FC51BB7"/>
    <w:rsid w:val="7FD40CC0"/>
    <w:rsid w:val="7FDB6FC6"/>
    <w:rsid w:val="7FDD2A18"/>
    <w:rsid w:val="7FDDA842"/>
    <w:rsid w:val="7FDE9F4C"/>
    <w:rsid w:val="7FDFBD88"/>
    <w:rsid w:val="7FEDA972"/>
    <w:rsid w:val="7FEDAC59"/>
    <w:rsid w:val="7FEDF09B"/>
    <w:rsid w:val="7FEEF71F"/>
    <w:rsid w:val="7FF7AB6A"/>
    <w:rsid w:val="7FF8BB20"/>
    <w:rsid w:val="7FFC3A85"/>
    <w:rsid w:val="7FFCB402"/>
    <w:rsid w:val="7FFD0CBC"/>
    <w:rsid w:val="7FFD1FDD"/>
    <w:rsid w:val="7FFE3F3E"/>
    <w:rsid w:val="7FFEC250"/>
    <w:rsid w:val="7FFF17EF"/>
    <w:rsid w:val="7FFFB3D6"/>
    <w:rsid w:val="7FFFD52A"/>
    <w:rsid w:val="7FFFF3F3"/>
    <w:rsid w:val="7FFFF58E"/>
    <w:rsid w:val="7FFFFC61"/>
    <w:rsid w:val="8B7D81FB"/>
    <w:rsid w:val="8B936500"/>
    <w:rsid w:val="8DFAB109"/>
    <w:rsid w:val="8EE7CB31"/>
    <w:rsid w:val="8F6FED00"/>
    <w:rsid w:val="8FBD359F"/>
    <w:rsid w:val="8FCCA7CE"/>
    <w:rsid w:val="93FE0F76"/>
    <w:rsid w:val="97779B61"/>
    <w:rsid w:val="99FFA36A"/>
    <w:rsid w:val="9BF722C3"/>
    <w:rsid w:val="9CB71E09"/>
    <w:rsid w:val="9D4B5CFF"/>
    <w:rsid w:val="9DB7FCB1"/>
    <w:rsid w:val="9EDF937D"/>
    <w:rsid w:val="9EFDA481"/>
    <w:rsid w:val="9F3BB2ED"/>
    <w:rsid w:val="9FD784A4"/>
    <w:rsid w:val="9FDF7246"/>
    <w:rsid w:val="9FEF5E10"/>
    <w:rsid w:val="9FF7C5B8"/>
    <w:rsid w:val="9FFB4813"/>
    <w:rsid w:val="A74EA02C"/>
    <w:rsid w:val="A77E787B"/>
    <w:rsid w:val="A7FD1B3A"/>
    <w:rsid w:val="A9FD9CEF"/>
    <w:rsid w:val="A9FDAAA5"/>
    <w:rsid w:val="AAFBAFEE"/>
    <w:rsid w:val="AE5FDBD1"/>
    <w:rsid w:val="AEF50F11"/>
    <w:rsid w:val="AF750CB1"/>
    <w:rsid w:val="AF8FBB81"/>
    <w:rsid w:val="AFABFFC2"/>
    <w:rsid w:val="AFD99EAA"/>
    <w:rsid w:val="AFDE1C1C"/>
    <w:rsid w:val="AFE7FD13"/>
    <w:rsid w:val="AFEF78B5"/>
    <w:rsid w:val="AFF7FBF6"/>
    <w:rsid w:val="AFFE305E"/>
    <w:rsid w:val="B33E7D19"/>
    <w:rsid w:val="B3FFFBD9"/>
    <w:rsid w:val="B5E0BEDF"/>
    <w:rsid w:val="B5EE1C57"/>
    <w:rsid w:val="B5EFC093"/>
    <w:rsid w:val="B5F3D8E8"/>
    <w:rsid w:val="B63EB04A"/>
    <w:rsid w:val="B6BFDE4F"/>
    <w:rsid w:val="B7BB0A0D"/>
    <w:rsid w:val="B7EC3F5D"/>
    <w:rsid w:val="B7F1D1D1"/>
    <w:rsid w:val="B7F5C21D"/>
    <w:rsid w:val="B8968099"/>
    <w:rsid w:val="B9EDAF11"/>
    <w:rsid w:val="B9EFB768"/>
    <w:rsid w:val="B9FEC560"/>
    <w:rsid w:val="BA19AC6E"/>
    <w:rsid w:val="BA7B23C6"/>
    <w:rsid w:val="BAD6867D"/>
    <w:rsid w:val="BB4FE700"/>
    <w:rsid w:val="BBFEF636"/>
    <w:rsid w:val="BCBDD8D3"/>
    <w:rsid w:val="BD53C207"/>
    <w:rsid w:val="BDDD2ED1"/>
    <w:rsid w:val="BDDFBCBE"/>
    <w:rsid w:val="BDE7D8C5"/>
    <w:rsid w:val="BDF1EB7A"/>
    <w:rsid w:val="BE55768A"/>
    <w:rsid w:val="BEB5FFB4"/>
    <w:rsid w:val="BEBA493E"/>
    <w:rsid w:val="BEDF950A"/>
    <w:rsid w:val="BEEFC46E"/>
    <w:rsid w:val="BEFD291F"/>
    <w:rsid w:val="BF7C0DB9"/>
    <w:rsid w:val="BFA76FFC"/>
    <w:rsid w:val="BFBE9B24"/>
    <w:rsid w:val="BFBFC91F"/>
    <w:rsid w:val="BFD542F3"/>
    <w:rsid w:val="BFDF4506"/>
    <w:rsid w:val="BFED5639"/>
    <w:rsid w:val="BFEDB0F8"/>
    <w:rsid w:val="BFEDED80"/>
    <w:rsid w:val="BFEFB3C6"/>
    <w:rsid w:val="BFF1F75F"/>
    <w:rsid w:val="BFF67E93"/>
    <w:rsid w:val="BFF75827"/>
    <w:rsid w:val="BFFB5A93"/>
    <w:rsid w:val="BFFBECD4"/>
    <w:rsid w:val="BFFD9F26"/>
    <w:rsid w:val="BFFDDC91"/>
    <w:rsid w:val="BFFE0886"/>
    <w:rsid w:val="BFFEDD99"/>
    <w:rsid w:val="BFFF0ED3"/>
    <w:rsid w:val="C6CE6120"/>
    <w:rsid w:val="C73F792B"/>
    <w:rsid w:val="CCD54FED"/>
    <w:rsid w:val="CDB3B387"/>
    <w:rsid w:val="CE377EF8"/>
    <w:rsid w:val="CEBEEF47"/>
    <w:rsid w:val="CF6CED7E"/>
    <w:rsid w:val="CF7F532A"/>
    <w:rsid w:val="CF9F83DE"/>
    <w:rsid w:val="CFA73FE5"/>
    <w:rsid w:val="CFA75C95"/>
    <w:rsid w:val="CFE31879"/>
    <w:rsid w:val="CFEDB67A"/>
    <w:rsid w:val="CFFB087E"/>
    <w:rsid w:val="CFFF8F8D"/>
    <w:rsid w:val="D1BD9A2E"/>
    <w:rsid w:val="D2FE5A6B"/>
    <w:rsid w:val="D3DBA420"/>
    <w:rsid w:val="D3E7294A"/>
    <w:rsid w:val="D4AD001A"/>
    <w:rsid w:val="D4FF3389"/>
    <w:rsid w:val="D5FD03B0"/>
    <w:rsid w:val="D6DE5036"/>
    <w:rsid w:val="D72E5F61"/>
    <w:rsid w:val="D746B878"/>
    <w:rsid w:val="D74FDCB5"/>
    <w:rsid w:val="D77AEA1F"/>
    <w:rsid w:val="D77BFD1D"/>
    <w:rsid w:val="D79F7A6B"/>
    <w:rsid w:val="D7B3D61F"/>
    <w:rsid w:val="D7BF8B19"/>
    <w:rsid w:val="D7CF28CD"/>
    <w:rsid w:val="D7EB1A54"/>
    <w:rsid w:val="D7FF0E0B"/>
    <w:rsid w:val="D85FABEC"/>
    <w:rsid w:val="D89A928D"/>
    <w:rsid w:val="D967D787"/>
    <w:rsid w:val="D9FF63B4"/>
    <w:rsid w:val="DA6FB385"/>
    <w:rsid w:val="DAFA9147"/>
    <w:rsid w:val="DB3F02A8"/>
    <w:rsid w:val="DB4B7093"/>
    <w:rsid w:val="DB7EDAA1"/>
    <w:rsid w:val="DB7FEDB1"/>
    <w:rsid w:val="DBEEAF39"/>
    <w:rsid w:val="DBEF0E07"/>
    <w:rsid w:val="DBF9B1FF"/>
    <w:rsid w:val="DBFE1518"/>
    <w:rsid w:val="DCBEDBB4"/>
    <w:rsid w:val="DCFFFEB2"/>
    <w:rsid w:val="DD4E2CDE"/>
    <w:rsid w:val="DD5C298C"/>
    <w:rsid w:val="DD7F6AEA"/>
    <w:rsid w:val="DDEE1E1A"/>
    <w:rsid w:val="DE1FFDB4"/>
    <w:rsid w:val="DE333B63"/>
    <w:rsid w:val="DEBF0819"/>
    <w:rsid w:val="DECDC137"/>
    <w:rsid w:val="DEEF18F3"/>
    <w:rsid w:val="DEF4D0FF"/>
    <w:rsid w:val="DEF57189"/>
    <w:rsid w:val="DF3F1E6A"/>
    <w:rsid w:val="DF5966B1"/>
    <w:rsid w:val="DF5E5355"/>
    <w:rsid w:val="DFABBDCD"/>
    <w:rsid w:val="DFAD9235"/>
    <w:rsid w:val="DFB7E04D"/>
    <w:rsid w:val="DFC83524"/>
    <w:rsid w:val="DFCBFF54"/>
    <w:rsid w:val="DFCDF68C"/>
    <w:rsid w:val="DFE87189"/>
    <w:rsid w:val="DFEFFD00"/>
    <w:rsid w:val="DFF5B8F5"/>
    <w:rsid w:val="DFFB1559"/>
    <w:rsid w:val="DFFB85C1"/>
    <w:rsid w:val="DFFD1326"/>
    <w:rsid w:val="DFFD17C7"/>
    <w:rsid w:val="DFFD951C"/>
    <w:rsid w:val="DFFE20E2"/>
    <w:rsid w:val="DFFE3D12"/>
    <w:rsid w:val="DFFE64FB"/>
    <w:rsid w:val="DFFF2A8C"/>
    <w:rsid w:val="E1F7044E"/>
    <w:rsid w:val="E1F8438D"/>
    <w:rsid w:val="E2FA0232"/>
    <w:rsid w:val="E3EC3764"/>
    <w:rsid w:val="E3FB3323"/>
    <w:rsid w:val="E5ABD8A0"/>
    <w:rsid w:val="E5CFC48A"/>
    <w:rsid w:val="E6BF007A"/>
    <w:rsid w:val="E7645CA0"/>
    <w:rsid w:val="E7BF2B99"/>
    <w:rsid w:val="EB7FB84C"/>
    <w:rsid w:val="EB918EDB"/>
    <w:rsid w:val="EBD58031"/>
    <w:rsid w:val="EBDC1970"/>
    <w:rsid w:val="EBFD1D7A"/>
    <w:rsid w:val="EBFF5E22"/>
    <w:rsid w:val="EBFF6D19"/>
    <w:rsid w:val="ED647E8E"/>
    <w:rsid w:val="ED77C971"/>
    <w:rsid w:val="EDE3457E"/>
    <w:rsid w:val="EDEBB66E"/>
    <w:rsid w:val="EDF9E94A"/>
    <w:rsid w:val="EDFF06FB"/>
    <w:rsid w:val="EE5A5270"/>
    <w:rsid w:val="EEB71190"/>
    <w:rsid w:val="EF698DB6"/>
    <w:rsid w:val="EF7B162B"/>
    <w:rsid w:val="EF8F5392"/>
    <w:rsid w:val="EF9498A8"/>
    <w:rsid w:val="EFDE622A"/>
    <w:rsid w:val="EFEC0FDF"/>
    <w:rsid w:val="EFFBB37C"/>
    <w:rsid w:val="EFFD2280"/>
    <w:rsid w:val="EFFEC8AD"/>
    <w:rsid w:val="F0DFB510"/>
    <w:rsid w:val="F19B6634"/>
    <w:rsid w:val="F1AFFBD3"/>
    <w:rsid w:val="F1DEC1E7"/>
    <w:rsid w:val="F1FF0F80"/>
    <w:rsid w:val="F2ADEAF6"/>
    <w:rsid w:val="F2D93FEA"/>
    <w:rsid w:val="F3713931"/>
    <w:rsid w:val="F37F1962"/>
    <w:rsid w:val="F37F3A29"/>
    <w:rsid w:val="F37F8797"/>
    <w:rsid w:val="F3BF0A5F"/>
    <w:rsid w:val="F3FAA75C"/>
    <w:rsid w:val="F3FED156"/>
    <w:rsid w:val="F3FFC2AB"/>
    <w:rsid w:val="F4FF9699"/>
    <w:rsid w:val="F5333C31"/>
    <w:rsid w:val="F5C4483C"/>
    <w:rsid w:val="F5EF6D0C"/>
    <w:rsid w:val="F5F3F53A"/>
    <w:rsid w:val="F5FBF3AF"/>
    <w:rsid w:val="F6B7207B"/>
    <w:rsid w:val="F6BD7A65"/>
    <w:rsid w:val="F6CBE23F"/>
    <w:rsid w:val="F6D7E3A5"/>
    <w:rsid w:val="F6F38CF6"/>
    <w:rsid w:val="F72BAB8A"/>
    <w:rsid w:val="F73F943D"/>
    <w:rsid w:val="F76F428D"/>
    <w:rsid w:val="F7770880"/>
    <w:rsid w:val="F77B79AC"/>
    <w:rsid w:val="F7AB183F"/>
    <w:rsid w:val="F7D72403"/>
    <w:rsid w:val="F7D767AC"/>
    <w:rsid w:val="F7D79F6D"/>
    <w:rsid w:val="F7DAD9E6"/>
    <w:rsid w:val="F7DAE1D8"/>
    <w:rsid w:val="F7DB5F95"/>
    <w:rsid w:val="F7DF667A"/>
    <w:rsid w:val="F7DF68F5"/>
    <w:rsid w:val="F7FAED15"/>
    <w:rsid w:val="F7FD8302"/>
    <w:rsid w:val="F7FEB80B"/>
    <w:rsid w:val="F89F2E17"/>
    <w:rsid w:val="F8A55A37"/>
    <w:rsid w:val="F8DBCD30"/>
    <w:rsid w:val="F9AA2EE0"/>
    <w:rsid w:val="F9D6AC90"/>
    <w:rsid w:val="F9FB5164"/>
    <w:rsid w:val="F9FECB27"/>
    <w:rsid w:val="FA56906F"/>
    <w:rsid w:val="FAE70E94"/>
    <w:rsid w:val="FAEB039E"/>
    <w:rsid w:val="FAFF1047"/>
    <w:rsid w:val="FB3DB41E"/>
    <w:rsid w:val="FB3EBCF6"/>
    <w:rsid w:val="FB3EC3B5"/>
    <w:rsid w:val="FB75348E"/>
    <w:rsid w:val="FB759545"/>
    <w:rsid w:val="FB78EC80"/>
    <w:rsid w:val="FB7FA777"/>
    <w:rsid w:val="FBB71407"/>
    <w:rsid w:val="FBBEA9F3"/>
    <w:rsid w:val="FBDD9C61"/>
    <w:rsid w:val="FBDF63DA"/>
    <w:rsid w:val="FBEFDC95"/>
    <w:rsid w:val="FBFB5E52"/>
    <w:rsid w:val="FBFF9F2E"/>
    <w:rsid w:val="FC87DB42"/>
    <w:rsid w:val="FCC6C60D"/>
    <w:rsid w:val="FCFF3FDF"/>
    <w:rsid w:val="FD1BAAE1"/>
    <w:rsid w:val="FD37852F"/>
    <w:rsid w:val="FD5BD8FB"/>
    <w:rsid w:val="FD78159D"/>
    <w:rsid w:val="FD7D9A0F"/>
    <w:rsid w:val="FD9BD370"/>
    <w:rsid w:val="FDBF08BF"/>
    <w:rsid w:val="FDBF9B46"/>
    <w:rsid w:val="FDDFA8C6"/>
    <w:rsid w:val="FDF22C84"/>
    <w:rsid w:val="FDFD4E11"/>
    <w:rsid w:val="FDFDF1BD"/>
    <w:rsid w:val="FDFF3F6F"/>
    <w:rsid w:val="FDFF6DB1"/>
    <w:rsid w:val="FE1D53DA"/>
    <w:rsid w:val="FE2B352D"/>
    <w:rsid w:val="FE3FBD4C"/>
    <w:rsid w:val="FE59086D"/>
    <w:rsid w:val="FE5FFBFE"/>
    <w:rsid w:val="FE6716E4"/>
    <w:rsid w:val="FE6CE0FB"/>
    <w:rsid w:val="FE734873"/>
    <w:rsid w:val="FE8CE361"/>
    <w:rsid w:val="FE9DC418"/>
    <w:rsid w:val="FE9F6031"/>
    <w:rsid w:val="FEA1A219"/>
    <w:rsid w:val="FEAAE827"/>
    <w:rsid w:val="FECFC0F2"/>
    <w:rsid w:val="FEDC7BF0"/>
    <w:rsid w:val="FEDD6DF4"/>
    <w:rsid w:val="FEDE11B1"/>
    <w:rsid w:val="FEED0747"/>
    <w:rsid w:val="FEF53924"/>
    <w:rsid w:val="FEF902CC"/>
    <w:rsid w:val="FEFB094A"/>
    <w:rsid w:val="FEFB3560"/>
    <w:rsid w:val="FEFCFFDD"/>
    <w:rsid w:val="FEFE968E"/>
    <w:rsid w:val="FEFF2E51"/>
    <w:rsid w:val="FEFF90BE"/>
    <w:rsid w:val="FF1CEC81"/>
    <w:rsid w:val="FF4F6DDC"/>
    <w:rsid w:val="FF4F8145"/>
    <w:rsid w:val="FF5B24B1"/>
    <w:rsid w:val="FF5F4CA1"/>
    <w:rsid w:val="FF5FBAE2"/>
    <w:rsid w:val="FF6F3488"/>
    <w:rsid w:val="FF6F8562"/>
    <w:rsid w:val="FF799CE5"/>
    <w:rsid w:val="FF7F71A8"/>
    <w:rsid w:val="FF8F8E9D"/>
    <w:rsid w:val="FF9ECA62"/>
    <w:rsid w:val="FFAEFDAD"/>
    <w:rsid w:val="FFBB113B"/>
    <w:rsid w:val="FFBB3775"/>
    <w:rsid w:val="FFBD1595"/>
    <w:rsid w:val="FFBD41C7"/>
    <w:rsid w:val="FFBEA2C6"/>
    <w:rsid w:val="FFC4EE7A"/>
    <w:rsid w:val="FFD6D36E"/>
    <w:rsid w:val="FFDBD137"/>
    <w:rsid w:val="FFDD8140"/>
    <w:rsid w:val="FFDE486C"/>
    <w:rsid w:val="FFDF3416"/>
    <w:rsid w:val="FFDF44C3"/>
    <w:rsid w:val="FFDF6D34"/>
    <w:rsid w:val="FFDFB245"/>
    <w:rsid w:val="FFDFC825"/>
    <w:rsid w:val="FFEDA3EF"/>
    <w:rsid w:val="FFEE68CE"/>
    <w:rsid w:val="FFEED27B"/>
    <w:rsid w:val="FFEFCB49"/>
    <w:rsid w:val="FFF615EC"/>
    <w:rsid w:val="FFF82ACC"/>
    <w:rsid w:val="FFF885ED"/>
    <w:rsid w:val="FFF999A4"/>
    <w:rsid w:val="FFF9FA2A"/>
    <w:rsid w:val="FFFA966D"/>
    <w:rsid w:val="FFFAD834"/>
    <w:rsid w:val="FFFB2D6A"/>
    <w:rsid w:val="FFFB819F"/>
    <w:rsid w:val="FFFD390F"/>
    <w:rsid w:val="FFFDADDE"/>
    <w:rsid w:val="FFFEE8AF"/>
    <w:rsid w:val="FFFFBA22"/>
    <w:rsid w:val="FFFFD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60" w:lineRule="exact"/>
      <w:ind w:firstLine="200" w:firstLineChars="200"/>
      <w:outlineLvl w:val="0"/>
    </w:pPr>
    <w:rPr>
      <w:rFonts w:ascii="Calibri" w:hAnsi="Calibri" w:eastAsia="黑体"/>
      <w:bCs/>
      <w:kern w:val="44"/>
      <w:sz w:val="32"/>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next w:val="1"/>
    <w:qFormat/>
    <w:uiPriority w:val="99"/>
    <w:pPr>
      <w:widowControl w:val="0"/>
      <w:ind w:firstLine="420" w:firstLineChars="200"/>
      <w:jc w:val="both"/>
    </w:pPr>
    <w:rPr>
      <w:rFonts w:ascii="Times New Roman" w:hAnsi="Times New Roman" w:eastAsia="仿宋_GB2312" w:cs="Times New Roman"/>
      <w:kern w:val="2"/>
      <w:sz w:val="32"/>
      <w:szCs w:val="24"/>
      <w:lang w:val="en-US" w:eastAsia="zh-CN" w:bidi="ar-SA"/>
    </w:rPr>
  </w:style>
  <w:style w:type="paragraph" w:styleId="6">
    <w:name w:val="annotation text"/>
    <w:basedOn w:val="1"/>
    <w:link w:val="48"/>
    <w:qFormat/>
    <w:uiPriority w:val="0"/>
    <w:pPr>
      <w:jc w:val="left"/>
    </w:pPr>
  </w:style>
  <w:style w:type="paragraph" w:styleId="7">
    <w:name w:val="Body Text"/>
    <w:basedOn w:val="1"/>
    <w:next w:val="1"/>
    <w:qFormat/>
    <w:uiPriority w:val="99"/>
    <w:pPr>
      <w:spacing w:after="120"/>
    </w:pPr>
  </w:style>
  <w:style w:type="paragraph" w:styleId="8">
    <w:name w:val="Body Text Indent"/>
    <w:basedOn w:val="1"/>
    <w:qFormat/>
    <w:uiPriority w:val="0"/>
    <w:pPr>
      <w:spacing w:after="120"/>
      <w:ind w:left="420" w:leftChars="200"/>
    </w:pPr>
  </w:style>
  <w:style w:type="paragraph" w:styleId="9">
    <w:name w:val="Block Text"/>
    <w:basedOn w:val="1"/>
    <w:qFormat/>
    <w:uiPriority w:val="99"/>
    <w:pPr>
      <w:spacing w:after="120"/>
      <w:ind w:left="700" w:leftChars="700" w:right="700" w:rightChars="700"/>
    </w:pPr>
  </w:style>
  <w:style w:type="paragraph" w:styleId="10">
    <w:name w:val="toc 3"/>
    <w:next w:val="1"/>
    <w:unhideWhenUsed/>
    <w:qFormat/>
    <w:uiPriority w:val="39"/>
    <w:pPr>
      <w:widowControl w:val="0"/>
      <w:spacing w:line="560" w:lineRule="exact"/>
    </w:pPr>
    <w:rPr>
      <w:rFonts w:ascii="方正小标宋简体" w:hAnsi="黑体" w:eastAsia="方正小标宋简体" w:cs="Times New Roman"/>
      <w:kern w:val="2"/>
      <w:sz w:val="44"/>
      <w:szCs w:val="44"/>
      <w:lang w:val="en-US" w:eastAsia="zh-CN" w:bidi="ar-SA"/>
    </w:rPr>
  </w:style>
  <w:style w:type="paragraph" w:styleId="11">
    <w:name w:val="Plain Text"/>
    <w:basedOn w:val="1"/>
    <w:qFormat/>
    <w:uiPriority w:val="0"/>
    <w:rPr>
      <w:rFonts w:ascii="宋体" w:hAnsi="Courier New"/>
    </w:rPr>
  </w:style>
  <w:style w:type="paragraph" w:styleId="12">
    <w:name w:val="Balloon Text"/>
    <w:basedOn w:val="1"/>
    <w:link w:val="51"/>
    <w:qFormat/>
    <w:uiPriority w:val="0"/>
    <w:rPr>
      <w:sz w:val="18"/>
      <w:szCs w:val="18"/>
    </w:rPr>
  </w:style>
  <w:style w:type="paragraph" w:styleId="13">
    <w:name w:val="footer"/>
    <w:basedOn w:val="1"/>
    <w:next w:val="1"/>
    <w:link w:val="31"/>
    <w:qFormat/>
    <w:uiPriority w:val="99"/>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unhideWhenUsed/>
    <w:qFormat/>
    <w:uiPriority w:val="39"/>
  </w:style>
  <w:style w:type="paragraph" w:styleId="16">
    <w:name w:val="index heading"/>
    <w:basedOn w:val="1"/>
    <w:next w:val="17"/>
    <w:qFormat/>
    <w:uiPriority w:val="99"/>
    <w:rPr>
      <w:rFonts w:ascii="Arial" w:hAnsi="Arial"/>
      <w:b/>
    </w:rPr>
  </w:style>
  <w:style w:type="paragraph" w:styleId="17">
    <w:name w:val="index 1"/>
    <w:basedOn w:val="1"/>
    <w:next w:val="1"/>
    <w:qFormat/>
    <w:uiPriority w:val="0"/>
  </w:style>
  <w:style w:type="paragraph" w:styleId="18">
    <w:name w:val="footnote text"/>
    <w:basedOn w:val="1"/>
    <w:unhideWhenUsed/>
    <w:qFormat/>
    <w:uiPriority w:val="99"/>
    <w:pPr>
      <w:snapToGrid w:val="0"/>
      <w:jc w:val="left"/>
    </w:pPr>
    <w:rPr>
      <w:sz w:val="18"/>
      <w:szCs w:val="18"/>
    </w:rPr>
  </w:style>
  <w:style w:type="paragraph" w:styleId="19">
    <w:name w:val="Normal (Web)"/>
    <w:basedOn w:val="1"/>
    <w:qFormat/>
    <w:uiPriority w:val="0"/>
    <w:pPr>
      <w:spacing w:before="100" w:beforeAutospacing="1" w:after="100" w:afterAutospacing="1"/>
      <w:jc w:val="left"/>
    </w:pPr>
    <w:rPr>
      <w:kern w:val="0"/>
      <w:sz w:val="24"/>
    </w:rPr>
  </w:style>
  <w:style w:type="paragraph" w:styleId="20">
    <w:name w:val="annotation subject"/>
    <w:basedOn w:val="6"/>
    <w:next w:val="6"/>
    <w:link w:val="49"/>
    <w:qFormat/>
    <w:uiPriority w:val="0"/>
    <w:rPr>
      <w:b/>
      <w:bCs/>
    </w:rPr>
  </w:style>
  <w:style w:type="paragraph" w:styleId="21">
    <w:name w:val="Body Text First Indent 2"/>
    <w:basedOn w:val="8"/>
    <w:qFormat/>
    <w:uiPriority w:val="0"/>
    <w:pPr>
      <w:ind w:firstLine="420" w:firstLineChars="200"/>
    </w:pPr>
  </w:style>
  <w:style w:type="table" w:styleId="2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5">
    <w:name w:val="page number"/>
    <w:qFormat/>
    <w:uiPriority w:val="0"/>
  </w:style>
  <w:style w:type="character" w:styleId="26">
    <w:name w:val="FollowedHyperlink"/>
    <w:basedOn w:val="24"/>
    <w:unhideWhenUsed/>
    <w:qFormat/>
    <w:uiPriority w:val="99"/>
    <w:rPr>
      <w:color w:val="954F72"/>
      <w:u w:val="single"/>
    </w:rPr>
  </w:style>
  <w:style w:type="character" w:styleId="27">
    <w:name w:val="Emphasis"/>
    <w:qFormat/>
    <w:uiPriority w:val="0"/>
    <w:rPr>
      <w:i/>
    </w:rPr>
  </w:style>
  <w:style w:type="character" w:styleId="28">
    <w:name w:val="Hyperlink"/>
    <w:qFormat/>
    <w:uiPriority w:val="99"/>
    <w:rPr>
      <w:color w:val="0000FF"/>
      <w:u w:val="single"/>
    </w:rPr>
  </w:style>
  <w:style w:type="character" w:styleId="29">
    <w:name w:val="annotation reference"/>
    <w:basedOn w:val="24"/>
    <w:qFormat/>
    <w:uiPriority w:val="0"/>
    <w:rPr>
      <w:sz w:val="21"/>
      <w:szCs w:val="21"/>
    </w:rPr>
  </w:style>
  <w:style w:type="character" w:styleId="30">
    <w:name w:val="footnote reference"/>
    <w:unhideWhenUsed/>
    <w:qFormat/>
    <w:uiPriority w:val="99"/>
    <w:rPr>
      <w:vertAlign w:val="superscript"/>
    </w:rPr>
  </w:style>
  <w:style w:type="character" w:customStyle="1" w:styleId="31">
    <w:name w:val="页脚 Char"/>
    <w:link w:val="13"/>
    <w:qFormat/>
    <w:uiPriority w:val="99"/>
    <w:rPr>
      <w:kern w:val="2"/>
      <w:sz w:val="18"/>
      <w:szCs w:val="18"/>
    </w:rPr>
  </w:style>
  <w:style w:type="table" w:customStyle="1" w:styleId="32">
    <w:name w:val="网格型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33">
    <w:name w:val="Table Normal"/>
    <w:unhideWhenUsed/>
    <w:qFormat/>
    <w:uiPriority w:val="0"/>
    <w:tblPr>
      <w:tblCellMar>
        <w:top w:w="0" w:type="dxa"/>
        <w:left w:w="0" w:type="dxa"/>
        <w:bottom w:w="0" w:type="dxa"/>
        <w:right w:w="0" w:type="dxa"/>
      </w:tblCellMar>
    </w:tblPr>
  </w:style>
  <w:style w:type="paragraph" w:styleId="34">
    <w:name w:val="List Paragraph"/>
    <w:basedOn w:val="1"/>
    <w:qFormat/>
    <w:uiPriority w:val="34"/>
    <w:pPr>
      <w:ind w:firstLine="420" w:firstLineChars="200"/>
    </w:pPr>
  </w:style>
  <w:style w:type="character" w:customStyle="1" w:styleId="35">
    <w:name w:val="NormalCharacter"/>
    <w:semiHidden/>
    <w:qFormat/>
    <w:uiPriority w:val="0"/>
  </w:style>
  <w:style w:type="character" w:customStyle="1" w:styleId="36">
    <w:name w:val="font51"/>
    <w:qFormat/>
    <w:uiPriority w:val="0"/>
    <w:rPr>
      <w:rFonts w:hint="default" w:ascii="仿宋_GB2312" w:eastAsia="仿宋_GB2312" w:cs="仿宋_GB2312"/>
      <w:color w:val="000000"/>
      <w:sz w:val="28"/>
      <w:szCs w:val="28"/>
      <w:u w:val="none"/>
    </w:rPr>
  </w:style>
  <w:style w:type="character" w:customStyle="1" w:styleId="37">
    <w:name w:val="font71"/>
    <w:qFormat/>
    <w:uiPriority w:val="0"/>
    <w:rPr>
      <w:rFonts w:hint="eastAsia" w:ascii="黑体" w:hAnsi="宋体" w:eastAsia="黑体" w:cs="黑体"/>
      <w:color w:val="000000"/>
      <w:sz w:val="28"/>
      <w:szCs w:val="28"/>
      <w:u w:val="none"/>
    </w:rPr>
  </w:style>
  <w:style w:type="character" w:customStyle="1" w:styleId="38">
    <w:name w:val="font12"/>
    <w:qFormat/>
    <w:uiPriority w:val="0"/>
    <w:rPr>
      <w:rFonts w:ascii="楷体_GB2312" w:eastAsia="楷体_GB2312" w:cs="楷体_GB2312"/>
      <w:color w:val="000000"/>
      <w:sz w:val="24"/>
      <w:szCs w:val="24"/>
      <w:u w:val="none"/>
    </w:rPr>
  </w:style>
  <w:style w:type="character" w:customStyle="1" w:styleId="39">
    <w:name w:val="font01"/>
    <w:qFormat/>
    <w:uiPriority w:val="0"/>
    <w:rPr>
      <w:rFonts w:ascii="汉仪平安行粗简" w:hAnsi="汉仪平安行粗简" w:eastAsia="汉仪平安行粗简" w:cs="汉仪平安行粗简"/>
      <w:color w:val="000000"/>
      <w:sz w:val="28"/>
      <w:szCs w:val="28"/>
      <w:u w:val="none"/>
    </w:rPr>
  </w:style>
  <w:style w:type="character" w:customStyle="1" w:styleId="40">
    <w:name w:val="font41"/>
    <w:qFormat/>
    <w:uiPriority w:val="0"/>
    <w:rPr>
      <w:rFonts w:ascii="Arial" w:hAnsi="Arial" w:cs="Arial"/>
      <w:color w:val="000000"/>
      <w:sz w:val="28"/>
      <w:szCs w:val="28"/>
      <w:u w:val="none"/>
    </w:rPr>
  </w:style>
  <w:style w:type="paragraph" w:customStyle="1" w:styleId="41">
    <w:name w:val="正文文本首行缩进1"/>
    <w:basedOn w:val="7"/>
    <w:qFormat/>
    <w:uiPriority w:val="0"/>
    <w:pPr>
      <w:ind w:firstLine="420" w:firstLineChars="100"/>
    </w:pPr>
    <w:rPr>
      <w:szCs w:val="22"/>
    </w:rPr>
  </w:style>
  <w:style w:type="paragraph" w:customStyle="1" w:styleId="42">
    <w:name w:val="_Style 35"/>
    <w:unhideWhenUsed/>
    <w:qFormat/>
    <w:uiPriority w:val="99"/>
    <w:rPr>
      <w:rFonts w:ascii="Times New Roman" w:hAnsi="Times New Roman" w:eastAsia="宋体" w:cs="Times New Roman"/>
      <w:kern w:val="2"/>
      <w:sz w:val="21"/>
      <w:szCs w:val="24"/>
      <w:lang w:val="en-US" w:eastAsia="zh-CN" w:bidi="ar-SA"/>
    </w:rPr>
  </w:style>
  <w:style w:type="paragraph" w:customStyle="1" w:styleId="43">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5">
    <w:name w:val="xl66"/>
    <w:basedOn w:val="1"/>
    <w:qFormat/>
    <w:uiPriority w:val="0"/>
    <w:pPr>
      <w:widowControl/>
      <w:spacing w:before="100" w:beforeAutospacing="1" w:after="100" w:afterAutospacing="1"/>
      <w:jc w:val="center"/>
    </w:pPr>
    <w:rPr>
      <w:rFonts w:ascii="仿宋_GB2312" w:hAnsi="宋体" w:eastAsia="仿宋_GB2312" w:cs="宋体"/>
      <w:kern w:val="0"/>
      <w:sz w:val="24"/>
    </w:rPr>
  </w:style>
  <w:style w:type="paragraph" w:customStyle="1" w:styleId="46">
    <w:name w:val="xl67"/>
    <w:basedOn w:val="1"/>
    <w:qFormat/>
    <w:uiPriority w:val="0"/>
    <w:pPr>
      <w:widowControl/>
      <w:spacing w:before="100" w:beforeAutospacing="1" w:after="100" w:afterAutospacing="1"/>
      <w:jc w:val="center"/>
    </w:pPr>
    <w:rPr>
      <w:rFonts w:ascii="仿宋_GB2312" w:hAnsi="宋体" w:eastAsia="仿宋_GB2312" w:cs="宋体"/>
      <w:kern w:val="0"/>
      <w:sz w:val="24"/>
    </w:rPr>
  </w:style>
  <w:style w:type="paragraph" w:customStyle="1" w:styleId="47">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48">
    <w:name w:val="批注文字 Char"/>
    <w:basedOn w:val="24"/>
    <w:link w:val="6"/>
    <w:qFormat/>
    <w:uiPriority w:val="0"/>
    <w:rPr>
      <w:kern w:val="2"/>
      <w:sz w:val="21"/>
      <w:szCs w:val="24"/>
    </w:rPr>
  </w:style>
  <w:style w:type="character" w:customStyle="1" w:styleId="49">
    <w:name w:val="批注主题 Char"/>
    <w:basedOn w:val="48"/>
    <w:link w:val="20"/>
    <w:qFormat/>
    <w:uiPriority w:val="0"/>
    <w:rPr>
      <w:b/>
      <w:bCs/>
      <w:kern w:val="2"/>
      <w:sz w:val="21"/>
      <w:szCs w:val="24"/>
    </w:rPr>
  </w:style>
  <w:style w:type="paragraph" w:customStyle="1" w:styleId="50">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51">
    <w:name w:val="批注框文本 Char"/>
    <w:basedOn w:val="24"/>
    <w:link w:val="12"/>
    <w:qFormat/>
    <w:uiPriority w:val="0"/>
    <w:rPr>
      <w:kern w:val="2"/>
      <w:sz w:val="18"/>
      <w:szCs w:val="18"/>
    </w:rPr>
  </w:style>
  <w:style w:type="paragraph" w:customStyle="1" w:styleId="52">
    <w:name w:val="修订3"/>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Pages>
  <Words>3369</Words>
  <Characters>3430</Characters>
  <Lines>62</Lines>
  <Paragraphs>17</Paragraphs>
  <TotalTime>4</TotalTime>
  <ScaleCrop>false</ScaleCrop>
  <LinksUpToDate>false</LinksUpToDate>
  <CharactersWithSpaces>3430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2024-08-28T15:16:00Z</dcterms:created>
  <dc:creator>user</dc:creator>
  <cp:lastModifiedBy>孙彤</cp:lastModifiedBy>
  <cp:lastPrinted>2024-08-28T15:16:00Z</cp:lastPrinted>
  <dcterms:modified xsi:type="dcterms:W3CDTF">2024-10-31T10:04:17Z</dcterms:modified>
  <cp:revision>708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A8FF7F2A9105478181A809689B8E67BE_13</vt:lpwstr>
  </property>
</Properties>
</file>