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D1C98">
      <w:pPr>
        <w:pStyle w:val="14"/>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p>
    <w:p w14:paraId="2C087991">
      <w:pPr>
        <w:pStyle w:val="13"/>
      </w:pPr>
    </w:p>
    <w:p w14:paraId="281874A0">
      <w:pPr>
        <w:snapToGrid w:val="0"/>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rPr>
        <w:t>《中关村国家自主创新示范区促进科技金融深度融合发展支持资金管理办法（</w:t>
      </w:r>
      <w:r>
        <w:rPr>
          <w:rFonts w:hint="eastAsia" w:ascii="方正小标宋_GBK" w:hAnsi="方正小标宋_GBK" w:eastAsia="方正小标宋_GBK" w:cs="方正小标宋_GBK"/>
          <w:sz w:val="44"/>
          <w:szCs w:val="44"/>
          <w:lang w:val="en-US" w:eastAsia="zh-CN"/>
        </w:rPr>
        <w:t>修订稿</w:t>
      </w:r>
      <w:r>
        <w:rPr>
          <w:rFonts w:hint="eastAsia" w:ascii="方正小标宋_GBK" w:hAnsi="方正小标宋_GBK" w:eastAsia="方正小标宋_GBK" w:cs="方正小标宋_GBK"/>
          <w:sz w:val="44"/>
          <w:szCs w:val="44"/>
        </w:rPr>
        <w:t>）》修订</w:t>
      </w:r>
      <w:r>
        <w:rPr>
          <w:rFonts w:hint="eastAsia" w:ascii="方正小标宋_GBK" w:hAnsi="方正小标宋_GBK" w:eastAsia="方正小标宋_GBK" w:cs="方正小标宋_GBK"/>
          <w:sz w:val="44"/>
          <w:szCs w:val="44"/>
          <w:lang w:val="en-US" w:eastAsia="zh-CN"/>
        </w:rPr>
        <w:t>说明</w:t>
      </w:r>
    </w:p>
    <w:p w14:paraId="79F07102">
      <w:pPr>
        <w:snapToGrid w:val="0"/>
        <w:spacing w:line="560" w:lineRule="exact"/>
        <w:ind w:firstLine="640" w:firstLineChars="200"/>
        <w:rPr>
          <w:rFonts w:hint="eastAsia" w:ascii="仿宋_GB2312" w:hAnsi="仿宋_GB2312" w:eastAsia="仿宋_GB2312" w:cs="仿宋_GB2312"/>
          <w:sz w:val="32"/>
          <w:szCs w:val="32"/>
        </w:rPr>
      </w:pPr>
    </w:p>
    <w:p w14:paraId="3DB37854">
      <w:p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为进一步优化</w:t>
      </w:r>
      <w:r>
        <w:rPr>
          <w:rFonts w:hint="eastAsia" w:ascii="仿宋_GB2312" w:hAnsi="仿宋_GB2312" w:eastAsia="仿宋_GB2312" w:cs="仿宋_GB2312"/>
          <w:sz w:val="32"/>
          <w:szCs w:val="32"/>
          <w:lang w:eastAsia="zh-CN"/>
        </w:rPr>
        <w:t>科技金融</w:t>
      </w:r>
      <w:r>
        <w:rPr>
          <w:rFonts w:hint="eastAsia" w:ascii="仿宋_GB2312" w:hAnsi="仿宋_GB2312" w:eastAsia="仿宋_GB2312" w:cs="仿宋_GB2312"/>
          <w:sz w:val="32"/>
          <w:szCs w:val="32"/>
        </w:rPr>
        <w:t>服务体系，聚焦重点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任务，结合“1+5”办法实施过程中总结的相关经验，</w:t>
      </w:r>
      <w:r>
        <w:rPr>
          <w:rFonts w:hint="eastAsia" w:ascii="仿宋_GB2312" w:hAnsi="仿宋_GB2312" w:eastAsia="仿宋_GB2312" w:cs="仿宋_GB2312"/>
          <w:sz w:val="32"/>
          <w:szCs w:val="32"/>
          <w:lang w:val="en-US" w:eastAsia="zh-CN"/>
        </w:rPr>
        <w:t>我委</w:t>
      </w:r>
      <w:r>
        <w:rPr>
          <w:rFonts w:hint="eastAsia" w:ascii="仿宋_GB2312" w:hAnsi="仿宋_GB2312" w:eastAsia="仿宋_GB2312" w:cs="仿宋_GB2312"/>
          <w:sz w:val="32"/>
          <w:szCs w:val="32"/>
        </w:rPr>
        <w:t>对《中关村国家自主创新示范区促进科技金融深度融合发展支持资金管理办法（试行）》（以下简称《</w:t>
      </w:r>
      <w:r>
        <w:rPr>
          <w:rFonts w:hint="eastAsia" w:ascii="仿宋_GB2312" w:hAnsi="仿宋_GB2312" w:eastAsia="仿宋_GB2312" w:cs="仿宋_GB2312"/>
          <w:sz w:val="32"/>
          <w:szCs w:val="32"/>
          <w:lang w:eastAsia="zh-CN"/>
        </w:rPr>
        <w:t>科技金融</w:t>
      </w:r>
      <w:r>
        <w:rPr>
          <w:rFonts w:hint="eastAsia" w:ascii="仿宋_GB2312" w:hAnsi="仿宋_GB2312" w:eastAsia="仿宋_GB2312" w:cs="仿宋_GB2312"/>
          <w:sz w:val="32"/>
          <w:szCs w:val="32"/>
        </w:rPr>
        <w:t>办法》）中的部分内容进行修订</w:t>
      </w:r>
      <w:r>
        <w:rPr>
          <w:rFonts w:hint="eastAsia" w:ascii="仿宋_GB2312" w:hAnsi="仿宋_GB2312" w:eastAsia="仿宋_GB2312" w:cs="仿宋_GB2312"/>
          <w:sz w:val="32"/>
          <w:szCs w:val="32"/>
          <w:lang w:eastAsia="zh-CN"/>
        </w:rPr>
        <w:t>。</w:t>
      </w:r>
    </w:p>
    <w:p w14:paraId="1CAC301B">
      <w:pPr>
        <w:snapToGrid w:val="0"/>
        <w:spacing w:line="560" w:lineRule="exact"/>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一、修订背景和考虑</w:t>
      </w:r>
    </w:p>
    <w:p w14:paraId="4FE0DB7E">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科技金融</w:t>
      </w:r>
      <w:r>
        <w:rPr>
          <w:rFonts w:hint="default" w:ascii="仿宋_GB2312" w:hAnsi="仿宋_GB2312" w:eastAsia="仿宋_GB2312" w:cs="仿宋_GB2312"/>
          <w:sz w:val="32"/>
          <w:szCs w:val="32"/>
          <w:lang w:val="en-US" w:eastAsia="zh-CN"/>
        </w:rPr>
        <w:t>办法》经过两年的实践，获得</w:t>
      </w:r>
      <w:r>
        <w:rPr>
          <w:rFonts w:hint="eastAsia" w:ascii="仿宋_GB2312" w:hAnsi="仿宋_GB2312" w:eastAsia="仿宋_GB2312" w:cs="仿宋_GB2312"/>
          <w:sz w:val="32"/>
          <w:szCs w:val="32"/>
          <w:lang w:val="en-US" w:eastAsia="zh-CN"/>
        </w:rPr>
        <w:t>较好成效</w:t>
      </w:r>
      <w:r>
        <w:rPr>
          <w:rFonts w:hint="default" w:ascii="仿宋_GB2312" w:hAnsi="仿宋_GB2312" w:eastAsia="仿宋_GB2312" w:cs="仿宋_GB2312"/>
          <w:sz w:val="32"/>
          <w:szCs w:val="32"/>
          <w:lang w:val="en-US" w:eastAsia="zh-CN"/>
        </w:rPr>
        <w:t>，但也面临一些亟需修改完善的问题。</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是</w:t>
      </w:r>
      <w:r>
        <w:rPr>
          <w:rStyle w:val="21"/>
          <w:rFonts w:hint="eastAsia" w:ascii="方正仿宋_GBK" w:hAnsi="方正仿宋_GBK" w:eastAsia="方正仿宋_GBK" w:cs="方正仿宋_GBK"/>
          <w:snapToGrid w:val="0"/>
          <w:color w:val="auto"/>
          <w:kern w:val="0"/>
          <w:sz w:val="32"/>
          <w:szCs w:val="32"/>
          <w:u w:val="none"/>
        </w:rPr>
        <w:t>随着近年来国际国内金融市场环境发生较大变化，我市科技金融面临创业投资下滑等问题，</w:t>
      </w:r>
      <w:r>
        <w:rPr>
          <w:rStyle w:val="21"/>
          <w:rFonts w:hint="eastAsia" w:ascii="方正仿宋_GBK" w:hAnsi="方正仿宋_GBK" w:eastAsia="方正仿宋_GBK" w:cs="方正仿宋_GBK"/>
          <w:snapToGrid w:val="0"/>
          <w:color w:val="auto"/>
          <w:kern w:val="0"/>
          <w:sz w:val="32"/>
          <w:szCs w:val="32"/>
          <w:u w:val="none"/>
          <w:lang w:eastAsia="zh-CN"/>
        </w:rPr>
        <w:t>需要</w:t>
      </w:r>
      <w:r>
        <w:rPr>
          <w:rStyle w:val="21"/>
          <w:rFonts w:hint="eastAsia" w:ascii="方正仿宋_GBK" w:hAnsi="方正仿宋_GBK" w:eastAsia="方正仿宋_GBK" w:cs="方正仿宋_GBK"/>
          <w:snapToGrid w:val="0"/>
          <w:kern w:val="0"/>
          <w:sz w:val="32"/>
          <w:szCs w:val="32"/>
          <w:lang w:eastAsia="zh-CN"/>
        </w:rPr>
        <w:t>加强</w:t>
      </w:r>
      <w:r>
        <w:rPr>
          <w:rStyle w:val="21"/>
          <w:rFonts w:hint="eastAsia" w:ascii="方正仿宋_GBK" w:hAnsi="方正仿宋_GBK" w:eastAsia="方正仿宋_GBK" w:cs="方正仿宋_GBK"/>
          <w:snapToGrid w:val="0"/>
          <w:kern w:val="0"/>
          <w:sz w:val="32"/>
          <w:szCs w:val="32"/>
        </w:rPr>
        <w:t>建立以创业投资为核心的科技金融政策支持体系，</w:t>
      </w:r>
      <w:r>
        <w:rPr>
          <w:rFonts w:hint="eastAsia" w:ascii="方正仿宋_GBK" w:hAnsi="方正仿宋_GBK" w:eastAsia="方正仿宋_GBK" w:cs="方正仿宋_GBK"/>
          <w:sz w:val="32"/>
          <w:szCs w:val="32"/>
        </w:rPr>
        <w:t>围绕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募投管退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增补政策点</w:t>
      </w:r>
      <w:r>
        <w:rPr>
          <w:rFonts w:hint="eastAsia" w:ascii="方正仿宋_GBK" w:hAnsi="方正仿宋_GBK" w:eastAsia="方正仿宋_GBK" w:cs="方正仿宋_GBK"/>
          <w:sz w:val="32"/>
          <w:szCs w:val="32"/>
          <w:lang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en-US" w:eastAsia="zh-CN"/>
        </w:rPr>
        <w:t>需进一步强化</w:t>
      </w:r>
      <w:r>
        <w:rPr>
          <w:rFonts w:hint="default" w:ascii="仿宋_GB2312" w:hAnsi="仿宋_GB2312" w:eastAsia="仿宋_GB2312" w:cs="仿宋_GB2312"/>
          <w:sz w:val="32"/>
          <w:szCs w:val="32"/>
          <w:lang w:val="en-US" w:eastAsia="zh-CN"/>
        </w:rPr>
        <w:t>政策点</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我委重点</w:t>
      </w:r>
      <w:r>
        <w:rPr>
          <w:rFonts w:hint="eastAsia" w:ascii="仿宋_GB2312" w:hAnsi="仿宋_GB2312" w:eastAsia="仿宋_GB2312" w:cs="仿宋_GB2312"/>
          <w:sz w:val="32"/>
          <w:szCs w:val="32"/>
          <w:lang w:val="en-US" w:eastAsia="zh-CN"/>
        </w:rPr>
        <w:t>任务</w:t>
      </w:r>
      <w:r>
        <w:rPr>
          <w:rFonts w:hint="default" w:ascii="仿宋_GB2312" w:hAnsi="仿宋_GB2312" w:eastAsia="仿宋_GB2312" w:cs="仿宋_GB2312"/>
          <w:sz w:val="32"/>
          <w:szCs w:val="32"/>
          <w:lang w:val="en-US" w:eastAsia="zh-CN"/>
        </w:rPr>
        <w:t>的关联度。</w:t>
      </w:r>
      <w:r>
        <w:rPr>
          <w:rFonts w:hint="eastAsia" w:ascii="仿宋_GB2312" w:hAnsi="仿宋_GB2312" w:eastAsia="仿宋_GB2312" w:cs="仿宋_GB2312"/>
          <w:sz w:val="32"/>
          <w:szCs w:val="32"/>
          <w:lang w:val="en-US" w:eastAsia="zh-CN"/>
        </w:rPr>
        <w:t>三是为更好的适应新形势，拟删除部分条款，如知识产权质押融资已由市知识产权局负责实施等。</w:t>
      </w:r>
      <w:r>
        <w:rPr>
          <w:rFonts w:hint="default" w:ascii="仿宋_GB2312" w:hAnsi="仿宋_GB2312" w:eastAsia="仿宋_GB2312" w:cs="仿宋_GB2312"/>
          <w:sz w:val="32"/>
          <w:szCs w:val="32"/>
          <w:lang w:val="en-US" w:eastAsia="zh-CN"/>
        </w:rPr>
        <w:t>据此拟对《</w:t>
      </w:r>
      <w:r>
        <w:rPr>
          <w:rFonts w:hint="eastAsia" w:ascii="仿宋_GB2312" w:hAnsi="仿宋_GB2312" w:eastAsia="仿宋_GB2312" w:cs="仿宋_GB2312"/>
          <w:sz w:val="32"/>
          <w:szCs w:val="32"/>
          <w:lang w:eastAsia="zh-CN"/>
        </w:rPr>
        <w:t>科技金融</w:t>
      </w:r>
      <w:r>
        <w:rPr>
          <w:rFonts w:hint="default" w:ascii="仿宋_GB2312" w:hAnsi="仿宋_GB2312" w:eastAsia="仿宋_GB2312" w:cs="仿宋_GB2312"/>
          <w:sz w:val="32"/>
          <w:szCs w:val="32"/>
          <w:lang w:val="en-US" w:eastAsia="zh-CN"/>
        </w:rPr>
        <w:t>办法》进行修订。</w:t>
      </w:r>
    </w:p>
    <w:p w14:paraId="3C7F52C2">
      <w:pPr>
        <w:numPr>
          <w:ilvl w:val="0"/>
          <w:numId w:val="0"/>
        </w:numPr>
        <w:snapToGrid w:val="0"/>
        <w:spacing w:line="560" w:lineRule="exact"/>
        <w:ind w:firstLine="640" w:firstLineChars="200"/>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、主要</w:t>
      </w:r>
      <w:r>
        <w:rPr>
          <w:rFonts w:hint="eastAsia" w:ascii="黑体" w:hAnsi="黑体" w:eastAsia="黑体" w:cs="黑体"/>
          <w:sz w:val="32"/>
          <w:szCs w:val="32"/>
          <w:highlight w:val="none"/>
          <w:lang w:val="en-US" w:eastAsia="zh-CN"/>
        </w:rPr>
        <w:t>修订</w:t>
      </w:r>
      <w:r>
        <w:rPr>
          <w:rFonts w:hint="eastAsia" w:ascii="黑体" w:hAnsi="黑体" w:eastAsia="黑体" w:cs="黑体"/>
          <w:sz w:val="32"/>
          <w:szCs w:val="32"/>
          <w:highlight w:val="none"/>
        </w:rPr>
        <w:t>内容</w:t>
      </w:r>
    </w:p>
    <w:p w14:paraId="19FE0157">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修订后的《</w:t>
      </w:r>
      <w:r>
        <w:rPr>
          <w:rFonts w:hint="eastAsia" w:ascii="仿宋_GB2312" w:hAnsi="仿宋_GB2312" w:eastAsia="仿宋_GB2312" w:cs="仿宋_GB2312"/>
          <w:sz w:val="32"/>
          <w:szCs w:val="32"/>
          <w:lang w:eastAsia="zh-CN"/>
        </w:rPr>
        <w:t>科技金融</w:t>
      </w:r>
      <w:r>
        <w:rPr>
          <w:rFonts w:hint="eastAsia" w:ascii="仿宋_GB2312" w:hAnsi="仿宋_GB2312" w:eastAsia="仿宋_GB2312" w:cs="仿宋_GB2312"/>
          <w:sz w:val="32"/>
          <w:szCs w:val="32"/>
          <w:lang w:val="en-US" w:eastAsia="zh-CN"/>
        </w:rPr>
        <w:t>办法》</w:t>
      </w:r>
      <w:r>
        <w:rPr>
          <w:rStyle w:val="21"/>
          <w:rFonts w:hint="eastAsia" w:ascii="方正仿宋_GBK" w:hAnsi="方正仿宋_GBK" w:eastAsia="方正仿宋_GBK" w:cs="方正仿宋_GBK"/>
          <w:b w:val="0"/>
          <w:bCs w:val="0"/>
          <w:snapToGrid w:val="0"/>
          <w:color w:val="auto"/>
          <w:kern w:val="0"/>
          <w:sz w:val="32"/>
          <w:szCs w:val="32"/>
          <w:u w:val="none"/>
        </w:rPr>
        <w:t>共五章，</w:t>
      </w:r>
      <w:r>
        <w:rPr>
          <w:rStyle w:val="21"/>
          <w:rFonts w:ascii="方正仿宋_GBK" w:hAnsi="方正仿宋_GBK" w:eastAsia="方正仿宋_GBK" w:cs="方正仿宋_GBK"/>
          <w:b w:val="0"/>
          <w:bCs w:val="0"/>
          <w:snapToGrid w:val="0"/>
          <w:color w:val="auto"/>
          <w:kern w:val="0"/>
          <w:sz w:val="32"/>
          <w:szCs w:val="32"/>
          <w:u w:val="none"/>
        </w:rPr>
        <w:t>2</w:t>
      </w:r>
      <w:r>
        <w:rPr>
          <w:rStyle w:val="21"/>
          <w:rFonts w:hint="eastAsia" w:ascii="方正仿宋_GBK" w:hAnsi="方正仿宋_GBK" w:eastAsia="方正仿宋_GBK" w:cs="方正仿宋_GBK"/>
          <w:b w:val="0"/>
          <w:bCs w:val="0"/>
          <w:snapToGrid w:val="0"/>
          <w:color w:val="auto"/>
          <w:kern w:val="0"/>
          <w:sz w:val="32"/>
          <w:szCs w:val="32"/>
          <w:u w:val="none"/>
          <w:lang w:val="en-US" w:eastAsia="zh-CN"/>
        </w:rPr>
        <w:t>2</w:t>
      </w:r>
      <w:r>
        <w:rPr>
          <w:rStyle w:val="21"/>
          <w:rFonts w:hint="eastAsia" w:ascii="方正仿宋_GBK" w:hAnsi="方正仿宋_GBK" w:eastAsia="方正仿宋_GBK" w:cs="方正仿宋_GBK"/>
          <w:b w:val="0"/>
          <w:bCs w:val="0"/>
          <w:snapToGrid w:val="0"/>
          <w:color w:val="auto"/>
          <w:kern w:val="0"/>
          <w:sz w:val="32"/>
          <w:szCs w:val="32"/>
          <w:u w:val="none"/>
        </w:rPr>
        <w:t>条，包括总则、支持内容及</w:t>
      </w:r>
      <w:r>
        <w:rPr>
          <w:rStyle w:val="21"/>
          <w:rFonts w:hint="eastAsia" w:ascii="方正仿宋_GBK" w:hAnsi="方正仿宋_GBK" w:eastAsia="方正仿宋_GBK" w:cs="方正仿宋_GBK"/>
          <w:b w:val="0"/>
          <w:bCs w:val="0"/>
          <w:snapToGrid w:val="0"/>
          <w:color w:val="auto"/>
          <w:kern w:val="0"/>
          <w:sz w:val="32"/>
          <w:szCs w:val="32"/>
          <w:u w:val="none"/>
          <w:lang w:eastAsia="zh-CN"/>
        </w:rPr>
        <w:t>申报条件</w:t>
      </w:r>
      <w:r>
        <w:rPr>
          <w:rStyle w:val="21"/>
          <w:rFonts w:hint="eastAsia" w:ascii="方正仿宋_GBK" w:hAnsi="方正仿宋_GBK" w:eastAsia="方正仿宋_GBK" w:cs="方正仿宋_GBK"/>
          <w:b w:val="0"/>
          <w:bCs w:val="0"/>
          <w:snapToGrid w:val="0"/>
          <w:color w:val="auto"/>
          <w:kern w:val="0"/>
          <w:sz w:val="32"/>
          <w:szCs w:val="32"/>
          <w:u w:val="none"/>
        </w:rPr>
        <w:t>、项目组织及管理、绩效管理与监督、附则五个章节</w:t>
      </w:r>
      <w:r>
        <w:rPr>
          <w:rFonts w:hint="eastAsia" w:ascii="仿宋_GB2312" w:hAnsi="仿宋_GB2312" w:eastAsia="仿宋_GB2312" w:cs="仿宋_GB2312"/>
          <w:sz w:val="32"/>
          <w:szCs w:val="32"/>
          <w:lang w:val="en-US" w:eastAsia="zh-CN"/>
        </w:rPr>
        <w:t>。</w:t>
      </w:r>
    </w:p>
    <w:p w14:paraId="2267532C">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（一）新增“</w:t>
      </w:r>
      <w:r>
        <w:rPr>
          <w:rFonts w:hint="eastAsia" w:ascii="仿宋_GB2312" w:hAnsi="仿宋_GB2312" w:eastAsia="仿宋_GB2312" w:cs="仿宋_GB2312"/>
          <w:sz w:val="32"/>
          <w:szCs w:val="32"/>
        </w:rPr>
        <w:t>引导新设立基金落地</w:t>
      </w:r>
      <w:r>
        <w:rPr>
          <w:rFonts w:hint="eastAsia" w:ascii="仿宋_GB2312" w:hAnsi="仿宋_GB2312" w:eastAsia="仿宋_GB2312" w:cs="仿宋_GB2312"/>
          <w:sz w:val="32"/>
          <w:szCs w:val="32"/>
          <w:lang w:val="en-US" w:eastAsia="zh-CN"/>
        </w:rPr>
        <w:t>”，并将</w:t>
      </w:r>
      <w:r>
        <w:rPr>
          <w:rFonts w:hint="eastAsia" w:ascii="仿宋_GB2312" w:hAnsi="Calibri" w:eastAsia="仿宋_GB2312" w:cs="Arial"/>
          <w:sz w:val="32"/>
          <w:szCs w:val="22"/>
          <w:lang w:val="en-US" w:eastAsia="zh-CN"/>
        </w:rPr>
        <w:t>原“</w:t>
      </w:r>
      <w:r>
        <w:rPr>
          <w:rFonts w:hint="eastAsia" w:ascii="仿宋_GB2312" w:hAnsi="Calibri" w:eastAsia="仿宋_GB2312" w:cs="Arial"/>
          <w:sz w:val="32"/>
          <w:szCs w:val="22"/>
        </w:rPr>
        <w:t>支持长期资本参与科技创新投资</w:t>
      </w:r>
      <w:r>
        <w:rPr>
          <w:rFonts w:hint="eastAsia" w:ascii="仿宋_GB2312" w:hAnsi="Calibri" w:eastAsia="仿宋_GB2312" w:cs="Arial"/>
          <w:sz w:val="32"/>
          <w:szCs w:val="22"/>
          <w:lang w:val="en-US" w:eastAsia="zh-CN"/>
        </w:rPr>
        <w:t>”相关支持纳入</w:t>
      </w:r>
      <w:r>
        <w:rPr>
          <w:rFonts w:hint="eastAsia" w:ascii="仿宋_GB2312" w:hAnsi="仿宋_GB2312" w:eastAsia="仿宋_GB2312" w:cs="仿宋_GB2312"/>
          <w:sz w:val="32"/>
          <w:szCs w:val="32"/>
          <w:lang w:val="en-US" w:eastAsia="zh-CN"/>
        </w:rPr>
        <w:t>。</w:t>
      </w:r>
    </w:p>
    <w:p w14:paraId="2781061D">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Calibri" w:eastAsia="仿宋_GB2312" w:cs="Arial"/>
          <w:sz w:val="32"/>
          <w:szCs w:val="22"/>
          <w:lang w:val="en-US" w:eastAsia="zh-CN"/>
        </w:rPr>
        <w:t>将原“</w:t>
      </w:r>
      <w:r>
        <w:rPr>
          <w:rFonts w:hint="eastAsia" w:ascii="仿宋_GB2312" w:hAnsi="Calibri" w:eastAsia="仿宋_GB2312" w:cs="Arial"/>
          <w:sz w:val="32"/>
          <w:szCs w:val="22"/>
        </w:rPr>
        <w:t xml:space="preserve"> 引导投资机构开展早期硬科技投资</w:t>
      </w:r>
      <w:r>
        <w:rPr>
          <w:rFonts w:hint="eastAsia" w:ascii="仿宋_GB2312" w:hAnsi="Calibri" w:eastAsia="仿宋_GB2312" w:cs="Arial"/>
          <w:sz w:val="32"/>
          <w:szCs w:val="22"/>
          <w:lang w:val="en-US" w:eastAsia="zh-CN"/>
        </w:rPr>
        <w:t>”修改为“</w:t>
      </w:r>
      <w:r>
        <w:rPr>
          <w:rFonts w:hint="eastAsia" w:ascii="仿宋_GB2312" w:hAnsi="Calibri" w:eastAsia="仿宋_GB2312" w:cs="Arial"/>
          <w:sz w:val="32"/>
          <w:szCs w:val="22"/>
        </w:rPr>
        <w:t>引导投资机构加大投资力度</w:t>
      </w:r>
      <w:r>
        <w:rPr>
          <w:rFonts w:hint="eastAsia" w:ascii="仿宋_GB2312" w:hAnsi="Calibri" w:eastAsia="仿宋_GB2312" w:cs="Arial"/>
          <w:sz w:val="32"/>
          <w:szCs w:val="22"/>
          <w:lang w:val="en-US" w:eastAsia="zh-CN"/>
        </w:rPr>
        <w:t>”。</w:t>
      </w:r>
    </w:p>
    <w:p w14:paraId="44333D56">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Calibri" w:eastAsia="仿宋_GB2312" w:cs="Arial"/>
          <w:sz w:val="32"/>
          <w:szCs w:val="22"/>
          <w:lang w:val="en-US" w:eastAsia="zh-CN"/>
        </w:rPr>
        <w:t>将原“</w:t>
      </w:r>
      <w:r>
        <w:rPr>
          <w:rFonts w:hint="eastAsia" w:ascii="仿宋_GB2312" w:hAnsi="Calibri" w:eastAsia="仿宋_GB2312" w:cs="Arial"/>
          <w:sz w:val="32"/>
          <w:szCs w:val="22"/>
        </w:rPr>
        <w:t xml:space="preserve"> 支持企业在新三板、北京四板挂牌</w:t>
      </w:r>
      <w:r>
        <w:rPr>
          <w:rFonts w:hint="eastAsia" w:ascii="仿宋_GB2312" w:hAnsi="Calibri" w:eastAsia="仿宋_GB2312" w:cs="Arial"/>
          <w:sz w:val="32"/>
          <w:szCs w:val="22"/>
          <w:lang w:val="en-US" w:eastAsia="zh-CN"/>
        </w:rPr>
        <w:t>”修改为“</w:t>
      </w:r>
      <w:r>
        <w:rPr>
          <w:rFonts w:hint="eastAsia" w:ascii="仿宋_GB2312" w:hAnsi="Calibri" w:eastAsia="仿宋_GB2312" w:cs="Arial"/>
          <w:sz w:val="32"/>
          <w:szCs w:val="22"/>
        </w:rPr>
        <w:t>支持企业在新三板挂牌</w:t>
      </w:r>
      <w:r>
        <w:rPr>
          <w:rFonts w:hint="eastAsia" w:ascii="仿宋_GB2312" w:hAnsi="Calibri" w:eastAsia="仿宋_GB2312" w:cs="Arial"/>
          <w:sz w:val="32"/>
          <w:szCs w:val="22"/>
          <w:lang w:val="en-US" w:eastAsia="zh-CN"/>
        </w:rPr>
        <w:t>”。</w:t>
      </w:r>
    </w:p>
    <w:p w14:paraId="4AF2E738">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Calibri" w:eastAsia="仿宋_GB2312" w:cs="Arial"/>
          <w:sz w:val="32"/>
          <w:szCs w:val="22"/>
          <w:lang w:val="en-US" w:eastAsia="zh-CN"/>
        </w:rPr>
      </w:pPr>
      <w:r>
        <w:rPr>
          <w:rFonts w:hint="eastAsia" w:ascii="仿宋_GB2312" w:hAnsi="Calibri" w:eastAsia="仿宋_GB2312" w:cs="Arial"/>
          <w:sz w:val="32"/>
          <w:szCs w:val="22"/>
          <w:lang w:val="en-US" w:eastAsia="zh-CN"/>
        </w:rPr>
        <w:t>（四）</w:t>
      </w:r>
      <w:r>
        <w:rPr>
          <w:rFonts w:hint="eastAsia" w:ascii="仿宋_GB2312" w:eastAsia="仿宋_GB2312"/>
          <w:sz w:val="32"/>
          <w:szCs w:val="32"/>
          <w:lang w:val="en-US" w:eastAsia="zh-CN"/>
        </w:rPr>
        <w:t>修改</w:t>
      </w:r>
      <w:r>
        <w:rPr>
          <w:rFonts w:hint="eastAsia" w:ascii="仿宋_GB2312" w:eastAsia="仿宋_GB2312"/>
          <w:sz w:val="32"/>
          <w:szCs w:val="32"/>
        </w:rPr>
        <w:t>原</w:t>
      </w:r>
      <w:r>
        <w:rPr>
          <w:rFonts w:hint="eastAsia" w:ascii="仿宋_GB2312" w:hAnsi="Calibri" w:eastAsia="仿宋_GB2312" w:cs="Arial"/>
          <w:sz w:val="32"/>
          <w:szCs w:val="22"/>
          <w:lang w:val="en-US" w:eastAsia="zh-CN"/>
        </w:rPr>
        <w:t>“</w:t>
      </w:r>
      <w:r>
        <w:rPr>
          <w:rFonts w:hint="eastAsia" w:ascii="仿宋_GB2312" w:hAnsi="Calibri" w:eastAsia="仿宋_GB2312" w:cs="Arial"/>
          <w:sz w:val="32"/>
          <w:szCs w:val="22"/>
        </w:rPr>
        <w:t>支持多层次资本市场服务平台（基地）建设</w:t>
      </w:r>
      <w:r>
        <w:rPr>
          <w:rFonts w:hint="eastAsia" w:ascii="仿宋_GB2312" w:hAnsi="Calibri" w:eastAsia="仿宋_GB2312" w:cs="Arial"/>
          <w:sz w:val="32"/>
          <w:szCs w:val="22"/>
          <w:lang w:val="en-US" w:eastAsia="zh-CN"/>
        </w:rPr>
        <w:t>”。</w:t>
      </w:r>
    </w:p>
    <w:p w14:paraId="49AD4622">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Calibri" w:eastAsia="仿宋_GB2312" w:cs="Arial"/>
          <w:sz w:val="32"/>
          <w:szCs w:val="22"/>
          <w:lang w:val="en-US" w:eastAsia="zh-CN"/>
        </w:rPr>
      </w:pPr>
      <w:r>
        <w:rPr>
          <w:rFonts w:hint="eastAsia" w:ascii="仿宋_GB2312" w:hAnsi="Calibri" w:eastAsia="仿宋_GB2312" w:cs="Arial"/>
          <w:sz w:val="32"/>
          <w:szCs w:val="22"/>
          <w:lang w:val="en-US" w:eastAsia="zh-CN"/>
        </w:rPr>
        <w:t>（五）</w:t>
      </w:r>
      <w:r>
        <w:rPr>
          <w:rFonts w:hint="eastAsia" w:ascii="仿宋_GB2312" w:hAnsi="仿宋_GB2312" w:eastAsia="仿宋_GB2312" w:cs="仿宋_GB2312"/>
          <w:sz w:val="32"/>
          <w:szCs w:val="32"/>
          <w:lang w:val="en-US" w:eastAsia="zh-CN"/>
        </w:rPr>
        <w:t>新增“</w:t>
      </w:r>
      <w:r>
        <w:rPr>
          <w:rFonts w:hint="eastAsia" w:ascii="仿宋_GB2312" w:hAnsi="Calibri" w:eastAsia="仿宋_GB2312" w:cs="Arial"/>
          <w:sz w:val="32"/>
          <w:szCs w:val="22"/>
        </w:rPr>
        <w:t>支持开展股债联动业务创新</w:t>
      </w:r>
      <w:r>
        <w:rPr>
          <w:rFonts w:hint="eastAsia" w:ascii="仿宋_GB2312" w:hAnsi="仿宋_GB2312" w:eastAsia="仿宋_GB2312" w:cs="仿宋_GB2312"/>
          <w:sz w:val="32"/>
          <w:szCs w:val="32"/>
          <w:lang w:val="en-US" w:eastAsia="zh-CN"/>
        </w:rPr>
        <w:t>”。</w:t>
      </w:r>
    </w:p>
    <w:p w14:paraId="0B8C730D">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Calibri" w:eastAsia="仿宋_GB2312" w:cs="Arial"/>
          <w:sz w:val="32"/>
          <w:szCs w:val="22"/>
          <w:lang w:val="en-US" w:eastAsia="zh-CN"/>
        </w:rPr>
      </w:pPr>
      <w:r>
        <w:rPr>
          <w:rFonts w:hint="eastAsia" w:ascii="仿宋_GB2312" w:hAnsi="Calibri" w:eastAsia="仿宋_GB2312" w:cs="Arial"/>
          <w:sz w:val="32"/>
          <w:szCs w:val="22"/>
          <w:lang w:val="en-US" w:eastAsia="zh-CN"/>
        </w:rPr>
        <w:t>（六）删除原“</w:t>
      </w:r>
      <w:r>
        <w:rPr>
          <w:rFonts w:hint="eastAsia" w:ascii="仿宋_GB2312" w:hAnsi="Calibri" w:eastAsia="仿宋_GB2312" w:cs="Arial"/>
          <w:sz w:val="32"/>
          <w:szCs w:val="22"/>
        </w:rPr>
        <w:t>支持开展基金份额转让</w:t>
      </w:r>
      <w:r>
        <w:rPr>
          <w:rFonts w:hint="eastAsia" w:ascii="仿宋_GB2312" w:hAnsi="Calibri" w:eastAsia="仿宋_GB2312" w:cs="Arial"/>
          <w:sz w:val="32"/>
          <w:szCs w:val="22"/>
          <w:lang w:val="en-US" w:eastAsia="zh-CN"/>
        </w:rPr>
        <w:t>”。</w:t>
      </w:r>
    </w:p>
    <w:p w14:paraId="19BC56AF">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Calibri" w:eastAsia="仿宋_GB2312" w:cs="Arial"/>
          <w:sz w:val="32"/>
          <w:szCs w:val="22"/>
          <w:lang w:val="en-US" w:eastAsia="zh-CN"/>
        </w:rPr>
      </w:pPr>
      <w:r>
        <w:rPr>
          <w:rFonts w:hint="eastAsia" w:ascii="仿宋_GB2312" w:hAnsi="Calibri" w:eastAsia="仿宋_GB2312" w:cs="Arial"/>
          <w:sz w:val="32"/>
          <w:szCs w:val="22"/>
          <w:lang w:val="en-US" w:eastAsia="zh-CN"/>
        </w:rPr>
        <w:t>（</w:t>
      </w:r>
      <w:r>
        <w:rPr>
          <w:rFonts w:hint="eastAsia" w:ascii="仿宋_GB2312" w:eastAsia="仿宋_GB2312" w:cs="Arial"/>
          <w:sz w:val="32"/>
          <w:szCs w:val="22"/>
          <w:lang w:val="en-US" w:eastAsia="zh-CN"/>
        </w:rPr>
        <w:t>七</w:t>
      </w:r>
      <w:r>
        <w:rPr>
          <w:rFonts w:hint="eastAsia" w:ascii="仿宋_GB2312" w:hAnsi="Calibri" w:eastAsia="仿宋_GB2312" w:cs="Arial"/>
          <w:sz w:val="32"/>
          <w:szCs w:val="22"/>
          <w:lang w:val="en-US" w:eastAsia="zh-CN"/>
        </w:rPr>
        <w:t>）删除原“</w:t>
      </w:r>
      <w:r>
        <w:rPr>
          <w:rFonts w:hint="eastAsia" w:ascii="仿宋_GB2312" w:hAnsi="Calibri" w:eastAsia="仿宋_GB2312" w:cs="Arial"/>
          <w:sz w:val="32"/>
          <w:szCs w:val="22"/>
        </w:rPr>
        <w:t>深化企业信用融资试点</w:t>
      </w:r>
      <w:r>
        <w:rPr>
          <w:rFonts w:hint="eastAsia" w:ascii="仿宋_GB2312" w:hAnsi="Calibri" w:eastAsia="仿宋_GB2312" w:cs="Arial"/>
          <w:sz w:val="32"/>
          <w:szCs w:val="22"/>
          <w:lang w:val="en-US" w:eastAsia="zh-CN"/>
        </w:rPr>
        <w:t>”。</w:t>
      </w:r>
    </w:p>
    <w:p w14:paraId="23C97948">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Calibri" w:eastAsia="仿宋_GB2312" w:cs="Arial"/>
          <w:sz w:val="32"/>
          <w:szCs w:val="22"/>
          <w:lang w:val="en-US" w:eastAsia="zh-CN"/>
        </w:rPr>
      </w:pPr>
      <w:r>
        <w:rPr>
          <w:rFonts w:hint="eastAsia" w:ascii="仿宋_GB2312" w:hAnsi="Calibri" w:eastAsia="仿宋_GB2312" w:cs="Arial"/>
          <w:sz w:val="32"/>
          <w:szCs w:val="22"/>
          <w:lang w:val="en-US" w:eastAsia="zh-CN"/>
        </w:rPr>
        <w:t>（</w:t>
      </w:r>
      <w:r>
        <w:rPr>
          <w:rFonts w:hint="eastAsia" w:ascii="仿宋_GB2312" w:eastAsia="仿宋_GB2312" w:cs="Arial"/>
          <w:sz w:val="32"/>
          <w:szCs w:val="22"/>
          <w:lang w:val="en-US" w:eastAsia="zh-CN"/>
        </w:rPr>
        <w:t>八</w:t>
      </w:r>
      <w:r>
        <w:rPr>
          <w:rFonts w:hint="eastAsia" w:ascii="仿宋_GB2312" w:hAnsi="Calibri" w:eastAsia="仿宋_GB2312" w:cs="Arial"/>
          <w:sz w:val="32"/>
          <w:szCs w:val="22"/>
          <w:lang w:val="en-US" w:eastAsia="zh-CN"/>
        </w:rPr>
        <w:t>）删除原“</w:t>
      </w:r>
      <w:r>
        <w:rPr>
          <w:rFonts w:hint="eastAsia" w:ascii="仿宋_GB2312" w:hAnsi="Calibri" w:eastAsia="仿宋_GB2312" w:cs="Arial"/>
          <w:sz w:val="32"/>
          <w:szCs w:val="22"/>
        </w:rPr>
        <w:t>支持企业获得科技保险服务</w:t>
      </w:r>
      <w:r>
        <w:rPr>
          <w:rFonts w:hint="eastAsia" w:ascii="仿宋_GB2312" w:hAnsi="Calibri" w:eastAsia="仿宋_GB2312" w:cs="Arial"/>
          <w:sz w:val="32"/>
          <w:szCs w:val="22"/>
          <w:lang w:val="en-US" w:eastAsia="zh-CN"/>
        </w:rPr>
        <w:t>”。</w:t>
      </w:r>
    </w:p>
    <w:p w14:paraId="72BCB357">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Calibri" w:eastAsia="仿宋_GB2312" w:cs="Arial"/>
          <w:sz w:val="32"/>
          <w:szCs w:val="22"/>
          <w:lang w:val="en-US" w:eastAsia="zh-CN"/>
        </w:rPr>
      </w:pPr>
      <w:r>
        <w:rPr>
          <w:rFonts w:hint="eastAsia" w:ascii="仿宋_GB2312" w:hAnsi="Calibri" w:eastAsia="仿宋_GB2312" w:cs="Arial"/>
          <w:sz w:val="32"/>
          <w:szCs w:val="22"/>
          <w:lang w:val="en-US" w:eastAsia="zh-CN"/>
        </w:rPr>
        <w:t>（</w:t>
      </w:r>
      <w:r>
        <w:rPr>
          <w:rFonts w:hint="eastAsia" w:ascii="仿宋_GB2312" w:eastAsia="仿宋_GB2312" w:cs="Arial"/>
          <w:sz w:val="32"/>
          <w:szCs w:val="22"/>
          <w:lang w:val="en-US" w:eastAsia="zh-CN"/>
        </w:rPr>
        <w:t>九</w:t>
      </w:r>
      <w:r>
        <w:rPr>
          <w:rFonts w:hint="eastAsia" w:ascii="仿宋_GB2312" w:hAnsi="Calibri" w:eastAsia="仿宋_GB2312" w:cs="Arial"/>
          <w:sz w:val="32"/>
          <w:szCs w:val="22"/>
          <w:lang w:val="en-US" w:eastAsia="zh-CN"/>
        </w:rPr>
        <w:t>）删除原“</w:t>
      </w:r>
      <w:r>
        <w:rPr>
          <w:rFonts w:hint="eastAsia" w:ascii="仿宋_GB2312" w:hAnsi="Calibri" w:eastAsia="仿宋_GB2312" w:cs="Arial"/>
          <w:sz w:val="32"/>
          <w:szCs w:val="22"/>
        </w:rPr>
        <w:t xml:space="preserve"> 支持企业开展融资租赁</w:t>
      </w:r>
      <w:r>
        <w:rPr>
          <w:rFonts w:hint="eastAsia" w:ascii="仿宋_GB2312" w:hAnsi="Calibri" w:eastAsia="仿宋_GB2312" w:cs="Arial"/>
          <w:sz w:val="32"/>
          <w:szCs w:val="22"/>
          <w:lang w:val="en-US" w:eastAsia="zh-CN"/>
        </w:rPr>
        <w:t>”。</w:t>
      </w:r>
    </w:p>
    <w:p w14:paraId="44BE181B">
      <w:pPr>
        <w:keepNext w:val="0"/>
        <w:keepLines w:val="0"/>
        <w:pageBreakBefore w:val="0"/>
        <w:widowControl/>
        <w:tabs>
          <w:tab w:val="left" w:pos="2552"/>
        </w:tabs>
        <w:kinsoku/>
        <w:wordWrap/>
        <w:overflowPunct/>
        <w:topLinePunct w:val="0"/>
        <w:autoSpaceDE/>
        <w:bidi w:val="0"/>
        <w:spacing w:line="520" w:lineRule="exact"/>
        <w:ind w:firstLine="640" w:firstLineChars="200"/>
        <w:rPr>
          <w:rFonts w:hint="eastAsia" w:ascii="仿宋_GB2312" w:hAnsi="Calibri" w:eastAsia="仿宋_GB2312" w:cs="Arial"/>
          <w:sz w:val="32"/>
          <w:szCs w:val="22"/>
          <w:lang w:val="en-US" w:eastAsia="zh-CN"/>
        </w:rPr>
      </w:pPr>
      <w:r>
        <w:rPr>
          <w:rFonts w:hint="eastAsia" w:ascii="仿宋_GB2312" w:hAnsi="Calibri" w:eastAsia="仿宋_GB2312" w:cs="Arial"/>
          <w:sz w:val="32"/>
          <w:szCs w:val="22"/>
          <w:lang w:val="en-US" w:eastAsia="zh-CN"/>
        </w:rPr>
        <w:t>（十）删除原“</w:t>
      </w:r>
      <w:r>
        <w:rPr>
          <w:rFonts w:hint="eastAsia" w:ascii="仿宋_GB2312" w:hAnsi="Calibri" w:eastAsia="仿宋_GB2312" w:cs="Arial"/>
          <w:sz w:val="32"/>
          <w:szCs w:val="22"/>
        </w:rPr>
        <w:t>建立多方参与的知识产权质押融资成本分担和风险补偿机制</w:t>
      </w:r>
      <w:r>
        <w:rPr>
          <w:rFonts w:hint="eastAsia" w:ascii="仿宋_GB2312" w:hAnsi="Calibri" w:eastAsia="仿宋_GB2312" w:cs="Arial"/>
          <w:sz w:val="32"/>
          <w:szCs w:val="22"/>
          <w:lang w:val="en-US" w:eastAsia="zh-CN"/>
        </w:rPr>
        <w:t>”。</w:t>
      </w:r>
    </w:p>
    <w:p w14:paraId="17F57EE7">
      <w:pPr>
        <w:keepNext w:val="0"/>
        <w:keepLines w:val="0"/>
        <w:pageBreakBefore w:val="0"/>
        <w:widowControl/>
        <w:tabs>
          <w:tab w:val="left" w:pos="2552"/>
        </w:tabs>
        <w:kinsoku/>
        <w:wordWrap/>
        <w:overflowPunct/>
        <w:topLinePunct w:val="0"/>
        <w:autoSpaceDE/>
        <w:bidi w:val="0"/>
        <w:spacing w:line="520" w:lineRule="exact"/>
        <w:ind w:firstLine="640" w:firstLineChars="200"/>
        <w:rPr>
          <w:rFonts w:hint="default" w:ascii="仿宋_GB2312" w:hAnsi="Calibri" w:eastAsia="仿宋_GB2312" w:cs="宋体"/>
          <w:sz w:val="32"/>
          <w:szCs w:val="32"/>
          <w:lang w:val="en-US" w:eastAsia="zh-CN"/>
        </w:rPr>
      </w:pPr>
      <w:r>
        <w:rPr>
          <w:rFonts w:hint="eastAsia" w:ascii="仿宋_GB2312" w:hAnsi="Calibri" w:eastAsia="仿宋_GB2312" w:cs="Arial"/>
          <w:sz w:val="32"/>
          <w:szCs w:val="22"/>
          <w:lang w:val="en-US" w:eastAsia="zh-CN"/>
        </w:rPr>
        <w:t>（十</w:t>
      </w:r>
      <w:r>
        <w:rPr>
          <w:rFonts w:hint="eastAsia" w:ascii="仿宋_GB2312" w:eastAsia="仿宋_GB2312" w:cs="Arial"/>
          <w:sz w:val="32"/>
          <w:szCs w:val="22"/>
          <w:lang w:val="en-US" w:eastAsia="zh-CN"/>
        </w:rPr>
        <w:t>一</w:t>
      </w:r>
      <w:r>
        <w:rPr>
          <w:rFonts w:hint="eastAsia" w:ascii="仿宋_GB2312" w:hAnsi="Calibri" w:eastAsia="仿宋_GB2312" w:cs="Arial"/>
          <w:sz w:val="32"/>
          <w:szCs w:val="22"/>
          <w:lang w:val="en-US" w:eastAsia="zh-CN"/>
        </w:rPr>
        <w:t>）删除原“</w:t>
      </w:r>
      <w:r>
        <w:rPr>
          <w:rFonts w:hint="eastAsia" w:ascii="仿宋_GB2312" w:hAnsi="Calibri" w:eastAsia="仿宋_GB2312" w:cs="Arial"/>
          <w:sz w:val="32"/>
          <w:szCs w:val="22"/>
        </w:rPr>
        <w:t>支持企业积极开展并购重组</w:t>
      </w:r>
      <w:r>
        <w:rPr>
          <w:rFonts w:hint="eastAsia" w:ascii="仿宋_GB2312" w:hAnsi="Calibri" w:eastAsia="仿宋_GB2312" w:cs="Arial"/>
          <w:sz w:val="32"/>
          <w:szCs w:val="22"/>
          <w:lang w:val="en-US" w:eastAsia="zh-CN"/>
        </w:rPr>
        <w:t>”</w:t>
      </w:r>
      <w:r>
        <w:rPr>
          <w:rFonts w:hint="eastAsia" w:ascii="仿宋_GB2312" w:eastAsia="仿宋_GB2312" w:cs="Arial"/>
          <w:sz w:val="32"/>
          <w:szCs w:val="22"/>
          <w:lang w:val="en-US" w:eastAsia="zh-CN"/>
        </w:rPr>
        <w:t>。</w:t>
      </w:r>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sans-serif">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3C7F7"/>
    <w:rsid w:val="1FA74272"/>
    <w:rsid w:val="1FBFA7AC"/>
    <w:rsid w:val="21C7AF74"/>
    <w:rsid w:val="2DBDBA85"/>
    <w:rsid w:val="2FFE7C29"/>
    <w:rsid w:val="316ABB92"/>
    <w:rsid w:val="331FF5C7"/>
    <w:rsid w:val="33DB9677"/>
    <w:rsid w:val="35B90896"/>
    <w:rsid w:val="37FD2E14"/>
    <w:rsid w:val="39F71660"/>
    <w:rsid w:val="3B26C3D0"/>
    <w:rsid w:val="3CF2B43C"/>
    <w:rsid w:val="3FBE16F3"/>
    <w:rsid w:val="4E7DC55B"/>
    <w:rsid w:val="4FFD8B58"/>
    <w:rsid w:val="571A48FB"/>
    <w:rsid w:val="5A680C0E"/>
    <w:rsid w:val="5DF77B9A"/>
    <w:rsid w:val="5FAE17F8"/>
    <w:rsid w:val="5FFF33AF"/>
    <w:rsid w:val="66680809"/>
    <w:rsid w:val="66F7B763"/>
    <w:rsid w:val="67FF30D7"/>
    <w:rsid w:val="6A7E159F"/>
    <w:rsid w:val="6B969D7D"/>
    <w:rsid w:val="6EAE2A78"/>
    <w:rsid w:val="73EFA597"/>
    <w:rsid w:val="73FE5E54"/>
    <w:rsid w:val="75AFA912"/>
    <w:rsid w:val="75BF557D"/>
    <w:rsid w:val="75EB9115"/>
    <w:rsid w:val="75FEE4D5"/>
    <w:rsid w:val="76B525E0"/>
    <w:rsid w:val="77EC23D2"/>
    <w:rsid w:val="77FFE511"/>
    <w:rsid w:val="792FEB3A"/>
    <w:rsid w:val="79FA0549"/>
    <w:rsid w:val="7BFE69D8"/>
    <w:rsid w:val="7BFF13E8"/>
    <w:rsid w:val="7DBD4C14"/>
    <w:rsid w:val="7DEA7E0D"/>
    <w:rsid w:val="7EBF84C9"/>
    <w:rsid w:val="7ED3A364"/>
    <w:rsid w:val="7F5B20FA"/>
    <w:rsid w:val="7FDB666F"/>
    <w:rsid w:val="7FDF38E5"/>
    <w:rsid w:val="7FE5DAF1"/>
    <w:rsid w:val="7FE60D96"/>
    <w:rsid w:val="7FEB1D26"/>
    <w:rsid w:val="7FEF3DFC"/>
    <w:rsid w:val="AF9CC0E2"/>
    <w:rsid w:val="AFFA4EA9"/>
    <w:rsid w:val="B7EE19C6"/>
    <w:rsid w:val="CFBE97BA"/>
    <w:rsid w:val="D57FCD08"/>
    <w:rsid w:val="D7AEF55E"/>
    <w:rsid w:val="D7BD88EA"/>
    <w:rsid w:val="D7C1336A"/>
    <w:rsid w:val="DBFDFF9D"/>
    <w:rsid w:val="DBFE9F0E"/>
    <w:rsid w:val="DFF729C2"/>
    <w:rsid w:val="DFF7585A"/>
    <w:rsid w:val="E77CD1B5"/>
    <w:rsid w:val="EAFD2A97"/>
    <w:rsid w:val="EF8C6208"/>
    <w:rsid w:val="EFEFCF71"/>
    <w:rsid w:val="EFFFD09A"/>
    <w:rsid w:val="F2366296"/>
    <w:rsid w:val="F25F91A7"/>
    <w:rsid w:val="F5FEC111"/>
    <w:rsid w:val="F66ED327"/>
    <w:rsid w:val="F7EC6793"/>
    <w:rsid w:val="F9AB1DD9"/>
    <w:rsid w:val="FB5DDE92"/>
    <w:rsid w:val="FCEA4E2E"/>
    <w:rsid w:val="FD7EEFAA"/>
    <w:rsid w:val="FD7F7CE1"/>
    <w:rsid w:val="FDB580A4"/>
    <w:rsid w:val="FDDF3F8B"/>
    <w:rsid w:val="FDF481E9"/>
    <w:rsid w:val="FEB51A44"/>
    <w:rsid w:val="FF5752F8"/>
    <w:rsid w:val="FF6F1A20"/>
    <w:rsid w:val="FF7FC87E"/>
    <w:rsid w:val="FFBB8173"/>
    <w:rsid w:val="FFFE2FB1"/>
    <w:rsid w:val="FFFF0B7E"/>
    <w:rsid w:val="FFFF5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6">
    <w:name w:val="Body Text"/>
    <w:basedOn w:val="1"/>
    <w:uiPriority w:val="0"/>
    <w:pPr>
      <w:spacing w:before="0" w:after="140" w:line="276" w:lineRule="auto"/>
    </w:pPr>
  </w:style>
  <w:style w:type="paragraph" w:styleId="7">
    <w:name w:val="caption"/>
    <w:basedOn w:val="1"/>
    <w:uiPriority w:val="0"/>
    <w:pPr>
      <w:widowControl w:val="0"/>
      <w:suppressLineNumbers/>
      <w:suppressAutoHyphens/>
      <w:spacing w:before="120" w:after="120"/>
    </w:pPr>
    <w:rPr>
      <w:i/>
      <w:iCs/>
      <w:sz w:val="24"/>
      <w:szCs w:val="24"/>
    </w:rPr>
  </w:style>
  <w:style w:type="character" w:styleId="8">
    <w:name w:val="Emphasis"/>
    <w:basedOn w:val="4"/>
    <w:qFormat/>
    <w:uiPriority w:val="0"/>
    <w:rPr>
      <w:i/>
    </w:rPr>
  </w:style>
  <w:style w:type="paragraph" w:styleId="9">
    <w:name w:val="footer"/>
    <w:basedOn w:val="1"/>
    <w:qFormat/>
    <w:uiPriority w:val="0"/>
    <w:pPr>
      <w:tabs>
        <w:tab w:val="center" w:pos="4153"/>
        <w:tab w:val="right" w:pos="8306"/>
      </w:tabs>
      <w:snapToGrid w:val="0"/>
      <w:jc w:val="left"/>
    </w:pPr>
    <w:rPr>
      <w:sz w:val="18"/>
    </w:rPr>
  </w:style>
  <w:style w:type="character" w:styleId="10">
    <w:name w:val="footnote reference"/>
    <w:basedOn w:val="4"/>
    <w:qFormat/>
    <w:uiPriority w:val="99"/>
    <w:rPr>
      <w:vertAlign w:val="superscript"/>
    </w:rPr>
  </w:style>
  <w:style w:type="paragraph" w:styleId="11">
    <w:name w:val="footnote text"/>
    <w:basedOn w:val="1"/>
    <w:qFormat/>
    <w:uiPriority w:val="99"/>
    <w:pPr>
      <w:snapToGrid w:val="0"/>
      <w:jc w:val="left"/>
    </w:pPr>
    <w:rPr>
      <w:sz w:val="18"/>
    </w:rPr>
  </w:style>
  <w:style w:type="character" w:styleId="12">
    <w:name w:val="Hyperlink"/>
    <w:basedOn w:val="4"/>
    <w:uiPriority w:val="0"/>
    <w:rPr>
      <w:color w:val="0000FF"/>
      <w:u w:val="single"/>
    </w:rPr>
  </w:style>
  <w:style w:type="paragraph" w:styleId="13">
    <w:name w:val="index 1"/>
    <w:basedOn w:val="1"/>
    <w:next w:val="1"/>
    <w:qFormat/>
    <w:uiPriority w:val="0"/>
  </w:style>
  <w:style w:type="paragraph" w:styleId="14">
    <w:name w:val="index heading"/>
    <w:basedOn w:val="1"/>
    <w:next w:val="13"/>
    <w:qFormat/>
    <w:uiPriority w:val="0"/>
    <w:rPr>
      <w:rFonts w:ascii="等线 Light" w:hAnsi="等线 Light" w:eastAsia="等线 Light"/>
      <w:b/>
      <w:bCs/>
    </w:rPr>
  </w:style>
  <w:style w:type="paragraph" w:styleId="15">
    <w:name w:val="List"/>
    <w:basedOn w:val="6"/>
    <w:uiPriority w:val="0"/>
  </w:style>
  <w:style w:type="paragraph" w:styleId="16">
    <w:name w:val="Normal (Web)"/>
    <w:basedOn w:val="1"/>
    <w:uiPriority w:val="0"/>
    <w:pPr>
      <w:spacing w:before="100" w:beforeAutospacing="1" w:after="100" w:afterAutospacing="1"/>
      <w:ind w:left="0" w:right="0"/>
      <w:jc w:val="left"/>
    </w:pPr>
    <w:rPr>
      <w:kern w:val="0"/>
      <w:sz w:val="24"/>
      <w:lang w:val="en-US" w:eastAsia="zh-CN" w:bidi="ar"/>
    </w:rPr>
  </w:style>
  <w:style w:type="character" w:styleId="17">
    <w:name w:val="Strong"/>
    <w:basedOn w:val="4"/>
    <w:qFormat/>
    <w:uiPriority w:val="0"/>
    <w:rPr>
      <w:b/>
    </w:rPr>
  </w:style>
  <w:style w:type="character" w:customStyle="1" w:styleId="18">
    <w:name w:val="默认段落字体1"/>
    <w:uiPriority w:val="0"/>
  </w:style>
  <w:style w:type="paragraph" w:customStyle="1" w:styleId="19">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uiPriority w:val="0"/>
    <w:pPr>
      <w:widowControl w:val="0"/>
      <w:suppressLineNumbers/>
      <w:suppressAutoHyphens/>
    </w:p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9.33333333333333</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user</dc:creator>
  <cp:lastModifiedBy>pro</cp:lastModifiedBy>
  <cp:lastPrinted>2024-06-21T14:15:46Z</cp:lastPrinted>
  <dcterms:modified xsi:type="dcterms:W3CDTF">2024-06-21T01:56:34Z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529FF9CB32124E03B812AD96A167FF87_13</vt:lpwstr>
  </property>
</Properties>
</file>