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43.120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T 40</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w:t>
      </w:r>
      <w:r>
        <w:rPr>
          <w:rFonts w:ascii="黑体" w:eastAsia="黑体"/>
          <w:b w:val="0"/>
          <w:w w:val="100"/>
          <w:sz w:val="48"/>
        </w:rPr>
        <w:t>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2700020</wp:posOffset>
                </wp:positionV>
                <wp:extent cx="6120130" cy="0"/>
                <wp:effectExtent l="0" t="0" r="33020" b="1905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d/iPM2AAAAAwBAAAP&#10;AAAAAAAAAAEAIAAAADgAAABkcnMvZG93bnJldi54bWxQSwECFAAUAAAACACHTuJAIj3GA8kBAABe&#10;AwAADgAAAAAAAAABACAAAAA9AQAAZHJzL2Uyb0RvYy54bWxQSwUGAAAAAAYABgBZAQAAeA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燃料电池汽车 车载液氢供气系统安全技术规范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Fuel cell electric vehicles-onboard liquid hydrogen system safety specification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0240301</w:t>
      </w:r>
      <w:r>
        <w:rPr>
          <w:rFonts w:hint="eastAsia"/>
          <w:sz w:val="21"/>
          <w:szCs w:val="28"/>
        </w:rPr>
        <w:t>）</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9252585</wp:posOffset>
                </wp:positionV>
                <wp:extent cx="6120130" cy="0"/>
                <wp:effectExtent l="0" t="0" r="3302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5qdGL1wAAAA4BAAAPAAAA&#10;AAAAAAEAIAAAADgAAABkcnMvZG93bnJldi54bWxQSwECFAAUAAAACACHTuJA8MYXMccBAABcAwAA&#10;DgAAAAAAAAABACAAAAA8AQAAZHJzL2Uyb0RvYy54bWxQSwUGAAAAAAYABgBZAQAAdQU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57515887"/>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"_Toc158124055" </w:instrText>
      </w:r>
      <w:r>
        <w:fldChar w:fldCharType="separate"/>
      </w:r>
      <w:r>
        <w:rPr>
          <w:rStyle w:val="30"/>
          <w:rFonts w:hint="eastAsia"/>
        </w:rPr>
        <w:t>前言</w:t>
      </w:r>
      <w:r>
        <w:tab/>
      </w:r>
      <w:r>
        <w:fldChar w:fldCharType="begin"/>
      </w:r>
      <w:r>
        <w:instrText xml:space="preserve"> PAGEREF _Toc158124055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"_Toc158124056" </w:instrText>
      </w:r>
      <w:r>
        <w:fldChar w:fldCharType="separate"/>
      </w:r>
      <w:r>
        <w:rPr>
          <w:rStyle w:val="30"/>
        </w:rPr>
        <w:t xml:space="preserve">1 </w:t>
      </w:r>
      <w:r>
        <w:rPr>
          <w:rStyle w:val="30"/>
          <w:rFonts w:hint="eastAsia"/>
        </w:rPr>
        <w:t xml:space="preserve"> 范围</w:t>
      </w:r>
      <w:r>
        <w:tab/>
      </w:r>
      <w:r>
        <w:fldChar w:fldCharType="begin"/>
      </w:r>
      <w:r>
        <w:instrText xml:space="preserve"> PAGEREF _Toc158124056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"_Toc158124057" </w:instrText>
      </w:r>
      <w:r>
        <w:fldChar w:fldCharType="separate"/>
      </w:r>
      <w:r>
        <w:rPr>
          <w:rStyle w:val="30"/>
        </w:rPr>
        <w:t xml:space="preserve">2 </w:t>
      </w:r>
      <w:r>
        <w:rPr>
          <w:rStyle w:val="30"/>
          <w:rFonts w:hint="eastAsia"/>
        </w:rPr>
        <w:t xml:space="preserve"> 规范性引用文件</w:t>
      </w:r>
      <w:r>
        <w:tab/>
      </w:r>
      <w:r>
        <w:fldChar w:fldCharType="begin"/>
      </w:r>
      <w:r>
        <w:instrText xml:space="preserve"> PAGEREF _Toc158124057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"_Toc158124058" </w:instrText>
      </w:r>
      <w:r>
        <w:fldChar w:fldCharType="separate"/>
      </w:r>
      <w:r>
        <w:rPr>
          <w:rStyle w:val="30"/>
        </w:rPr>
        <w:t xml:space="preserve">3 </w:t>
      </w:r>
      <w:r>
        <w:rPr>
          <w:rStyle w:val="30"/>
          <w:rFonts w:hint="eastAsia"/>
        </w:rPr>
        <w:t xml:space="preserve"> 术语和定义</w:t>
      </w:r>
      <w:r>
        <w:tab/>
      </w:r>
      <w:r>
        <w:fldChar w:fldCharType="begin"/>
      </w:r>
      <w:r>
        <w:instrText xml:space="preserve"> PAGEREF _Toc158124058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"_Toc158124059" </w:instrText>
      </w:r>
      <w:r>
        <w:fldChar w:fldCharType="separate"/>
      </w:r>
      <w:r>
        <w:rPr>
          <w:rStyle w:val="30"/>
        </w:rPr>
        <w:t xml:space="preserve">4 </w:t>
      </w:r>
      <w:r>
        <w:rPr>
          <w:rStyle w:val="30"/>
          <w:rFonts w:hint="eastAsia"/>
        </w:rPr>
        <w:t xml:space="preserve"> 一般要求</w:t>
      </w:r>
      <w:r>
        <w:tab/>
      </w:r>
      <w:r>
        <w:fldChar w:fldCharType="begin"/>
      </w:r>
      <w:r>
        <w:instrText xml:space="preserve"> PAGEREF _Toc158124059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"_Toc158124060" </w:instrText>
      </w:r>
      <w:r>
        <w:fldChar w:fldCharType="separate"/>
      </w:r>
      <w:r>
        <w:rPr>
          <w:rStyle w:val="30"/>
        </w:rPr>
        <w:t xml:space="preserve">5 </w:t>
      </w:r>
      <w:r>
        <w:rPr>
          <w:rStyle w:val="30"/>
          <w:rFonts w:hint="eastAsia"/>
        </w:rPr>
        <w:t xml:space="preserve"> 系统安全</w:t>
      </w:r>
      <w:r>
        <w:tab/>
      </w:r>
      <w:r>
        <w:fldChar w:fldCharType="begin"/>
      </w:r>
      <w:r>
        <w:instrText xml:space="preserve"> PAGEREF _Toc158124060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"_Toc158124061" </w:instrText>
      </w:r>
      <w:r>
        <w:fldChar w:fldCharType="separate"/>
      </w:r>
      <w:r>
        <w:rPr>
          <w:rStyle w:val="30"/>
        </w:rPr>
        <w:t xml:space="preserve">6 </w:t>
      </w:r>
      <w:r>
        <w:rPr>
          <w:rStyle w:val="30"/>
          <w:rFonts w:hint="eastAsia"/>
        </w:rPr>
        <w:t xml:space="preserve"> 部件安全</w:t>
      </w:r>
      <w:r>
        <w:tab/>
      </w:r>
      <w:r>
        <w:fldChar w:fldCharType="begin"/>
      </w:r>
      <w:r>
        <w:instrText xml:space="preserve"> PAGEREF _Toc158124061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"_Toc158124062" </w:instrText>
      </w:r>
      <w:r>
        <w:fldChar w:fldCharType="separate"/>
      </w:r>
      <w:r>
        <w:rPr>
          <w:rStyle w:val="30"/>
        </w:rPr>
        <w:t xml:space="preserve">7 </w:t>
      </w:r>
      <w:r>
        <w:rPr>
          <w:rStyle w:val="30"/>
          <w:rFonts w:hint="eastAsia"/>
        </w:rPr>
        <w:t xml:space="preserve"> 布置、安装及防护</w:t>
      </w:r>
      <w:r>
        <w:tab/>
      </w:r>
      <w:r>
        <w:fldChar w:fldCharType="begin"/>
      </w:r>
      <w:r>
        <w:instrText xml:space="preserve"> PAGEREF _Toc158124062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"_Toc158124063" </w:instrText>
      </w:r>
      <w:r>
        <w:fldChar w:fldCharType="separate"/>
      </w:r>
      <w:r>
        <w:rPr>
          <w:rStyle w:val="30"/>
        </w:rPr>
        <w:t xml:space="preserve">8 </w:t>
      </w:r>
      <w:r>
        <w:rPr>
          <w:rStyle w:val="30"/>
          <w:rFonts w:hint="eastAsia"/>
        </w:rPr>
        <w:t xml:space="preserve"> 运行安全</w:t>
      </w:r>
      <w:r>
        <w:tab/>
      </w:r>
      <w:r>
        <w:fldChar w:fldCharType="begin"/>
      </w:r>
      <w:r>
        <w:instrText xml:space="preserve"> PAGEREF _Toc158124063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"_Toc158124064" </w:instrText>
      </w:r>
      <w:r>
        <w:fldChar w:fldCharType="separate"/>
      </w:r>
      <w:r>
        <w:rPr>
          <w:rStyle w:val="30"/>
        </w:rPr>
        <w:t xml:space="preserve">9 </w:t>
      </w:r>
      <w:r>
        <w:rPr>
          <w:rStyle w:val="30"/>
          <w:rFonts w:hint="eastAsia"/>
        </w:rPr>
        <w:t xml:space="preserve"> 试验要求</w:t>
      </w:r>
      <w:r>
        <w:tab/>
      </w:r>
      <w:r>
        <w:fldChar w:fldCharType="begin"/>
      </w:r>
      <w:r>
        <w:instrText xml:space="preserve"> PAGEREF _Toc158124064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"_Toc158124065" </w:instrText>
      </w:r>
      <w:r>
        <w:fldChar w:fldCharType="separate"/>
      </w:r>
      <w:r>
        <w:rPr>
          <w:rStyle w:val="30"/>
          <w:rFonts w:hint="eastAsia"/>
        </w:rPr>
        <w:t>附录A（资料性）</w:t>
      </w:r>
      <w:r>
        <w:rPr>
          <w:rStyle w:val="30"/>
        </w:rPr>
        <w:t xml:space="preserve">  </w:t>
      </w:r>
      <w:r>
        <w:rPr>
          <w:rStyle w:val="30"/>
          <w:rFonts w:hint="eastAsia"/>
        </w:rPr>
        <w:t>车载液氢系统示意图</w:t>
      </w:r>
      <w:r>
        <w:tab/>
      </w:r>
      <w:r>
        <w:fldChar w:fldCharType="begin"/>
      </w:r>
      <w:r>
        <w:instrText xml:space="preserve"> PAGEREF _Toc158124065 \h </w:instrText>
      </w:r>
      <w:r>
        <w:fldChar w:fldCharType="separate"/>
      </w:r>
      <w:r>
        <w:t>5</w:t>
      </w:r>
      <w:r>
        <w:fldChar w:fldCharType="end"/>
      </w:r>
      <w:r>
        <w:fldChar w:fldCharType="end"/>
      </w:r>
    </w:p>
    <w:p>
      <w:pPr>
        <w:pStyle w:val="91"/>
        <w:spacing w:after="468"/>
        <w:sectPr>
          <w:headerReference r:id="rId7" w:type="default"/>
          <w:footerReference r:id="rId9" w:type="default"/>
          <w:headerReference r:id="rId8"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bookmarkStart w:id="75" w:name="_GoBack"/>
      <w:bookmarkEnd w:id="75"/>
    </w:p>
    <w:bookmarkEnd w:id="21"/>
    <w:p>
      <w:pPr>
        <w:pStyle w:val="89"/>
        <w:spacing w:before="900" w:after="468"/>
      </w:pPr>
      <w:bookmarkStart w:id="23" w:name="_Toc158124055"/>
      <w:bookmarkStart w:id="24" w:name="BookMark2"/>
      <w:r>
        <w:rPr>
          <w:spacing w:val="320"/>
        </w:rPr>
        <w:t>前</w:t>
      </w:r>
      <w:r>
        <w:t>言</w:t>
      </w:r>
      <w:bookmarkEnd w:id="22"/>
      <w:bookmarkEnd w:id="23"/>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本文件由北京市经济和信息化局提出并归口。</w:t>
      </w:r>
    </w:p>
    <w:p>
      <w:pPr>
        <w:pStyle w:val="56"/>
        <w:ind w:firstLine="420"/>
      </w:pPr>
      <w:r>
        <w:rPr>
          <w:rFonts w:hint="eastAsia"/>
        </w:rPr>
        <w:t>本文件由北京市经济和信息化局组织实施。</w:t>
      </w:r>
    </w:p>
    <w:p>
      <w:pPr>
        <w:pStyle w:val="56"/>
        <w:ind w:firstLine="420"/>
      </w:pPr>
      <w:r>
        <w:rPr>
          <w:rFonts w:hint="eastAsia"/>
        </w:rPr>
        <w:t>本文件起草单位：北京汽车行业协会、北京航天试验技术研究所、北京汽车集团有限公司、北汽福田汽车股份有限公司、北京天海工业有限公司、北京亿华通科技股份有限公司、北京市产品质量监督检验研究院。</w:t>
      </w:r>
    </w:p>
    <w:p>
      <w:pPr>
        <w:pStyle w:val="56"/>
        <w:ind w:firstLine="420"/>
      </w:pPr>
      <w:r>
        <w:rPr>
          <w:rFonts w:hint="eastAsia"/>
        </w:rPr>
        <w:t>本文件主要起草人：</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0E6EC0CDCB8A4FE898D119B9E8E9B0EE"/>
        </w:placeholder>
      </w:sdtPr>
      <w:sdtContent>
        <w:p>
          <w:pPr>
            <w:pStyle w:val="177"/>
            <w:spacing w:before="3" w:beforeLines="1" w:after="686" w:afterLines="220"/>
          </w:pPr>
          <w:bookmarkStart w:id="26" w:name="NEW_STAND_NAME"/>
          <w:r>
            <w:rPr>
              <w:rFonts w:hint="eastAsia"/>
            </w:rPr>
            <w:t>燃料电池汽车</w:t>
          </w:r>
          <w:r>
            <w:t xml:space="preserve"> 车载液氢供气系统安全技术规范</w:t>
          </w:r>
        </w:p>
      </w:sdtContent>
    </w:sdt>
    <w:bookmarkEnd w:id="26"/>
    <w:p>
      <w:pPr>
        <w:pStyle w:val="104"/>
        <w:spacing w:before="312" w:after="312"/>
      </w:pPr>
      <w:bookmarkStart w:id="27" w:name="_Toc26718930"/>
      <w:bookmarkStart w:id="28" w:name="_Toc26986771"/>
      <w:bookmarkStart w:id="29" w:name="_Toc24884218"/>
      <w:bookmarkStart w:id="30" w:name="_Toc17233325"/>
      <w:bookmarkStart w:id="31" w:name="_Toc26986530"/>
      <w:bookmarkStart w:id="32" w:name="_Toc157515888"/>
      <w:bookmarkStart w:id="33" w:name="_Toc158124056"/>
      <w:bookmarkStart w:id="34" w:name="_Toc97191423"/>
      <w:bookmarkStart w:id="35" w:name="_Toc24884211"/>
      <w:bookmarkStart w:id="36" w:name="_Toc17233333"/>
      <w:bookmarkStart w:id="37" w:name="_Toc157427474"/>
      <w:bookmarkStart w:id="38" w:name="_Toc26648465"/>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pPr>
        <w:pStyle w:val="56"/>
        <w:ind w:firstLine="420"/>
      </w:pPr>
      <w:r>
        <w:t>本文件</w:t>
      </w:r>
      <w:r>
        <w:rPr>
          <w:rFonts w:hint="eastAsia"/>
        </w:rPr>
        <w:t>规定了燃料电池电动汽车车载液氢系统的一般要求、系统安全、部件安全、布置、安装及防护、运行安全和试验方法。</w:t>
      </w:r>
    </w:p>
    <w:p>
      <w:pPr>
        <w:pStyle w:val="56"/>
        <w:ind w:firstLine="420"/>
      </w:pPr>
      <w:r>
        <w:t>本文件</w:t>
      </w:r>
      <w:r>
        <w:rPr>
          <w:rFonts w:hint="eastAsia"/>
        </w:rPr>
        <w:t>适用于燃料电池电动汽车的车载液氢系统。</w:t>
      </w:r>
    </w:p>
    <w:p>
      <w:pPr>
        <w:pStyle w:val="104"/>
        <w:spacing w:before="312" w:after="312"/>
      </w:pPr>
      <w:bookmarkStart w:id="39" w:name="_Toc26648466"/>
      <w:bookmarkStart w:id="40" w:name="_Toc157427475"/>
      <w:bookmarkStart w:id="41" w:name="_Toc26986531"/>
      <w:bookmarkStart w:id="42" w:name="_Toc26718931"/>
      <w:bookmarkStart w:id="43" w:name="_Toc26986772"/>
      <w:bookmarkStart w:id="44" w:name="_Toc17233334"/>
      <w:bookmarkStart w:id="45" w:name="_Toc158124057"/>
      <w:bookmarkStart w:id="46" w:name="_Toc157515889"/>
      <w:bookmarkStart w:id="47" w:name="_Toc17233326"/>
      <w:bookmarkStart w:id="48" w:name="_Toc24884212"/>
      <w:bookmarkStart w:id="49" w:name="_Toc24884219"/>
      <w:bookmarkStart w:id="50" w:name="_Toc97191424"/>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ADC311355D0A499693FF05B9845C117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autoSpaceDE w:val="0"/>
        <w:autoSpaceDN w:val="0"/>
        <w:spacing w:line="240" w:lineRule="auto"/>
        <w:ind w:firstLine="420" w:firstLineChars="200"/>
        <w:jc w:val="left"/>
        <w:rPr>
          <w:rFonts w:ascii="宋体" w:hAnsi="宋体" w:cs="宋体"/>
          <w:color w:val="000000"/>
        </w:rPr>
      </w:pPr>
      <w:bookmarkStart w:id="51" w:name="_Toc451170600"/>
      <w:bookmarkStart w:id="52" w:name="_Toc454896202"/>
      <w:bookmarkStart w:id="53" w:name="_Toc449603541"/>
      <w:r>
        <w:rPr>
          <w:rFonts w:hint="eastAsia" w:ascii="宋体" w:hAnsi="宋体" w:cs="宋体"/>
          <w:color w:val="000000"/>
        </w:rPr>
        <w:t>GB/T 3836.4  爆炸性气体环境  第4部分：由本质安全型“i”保护的设备</w:t>
      </w:r>
    </w:p>
    <w:p>
      <w:pPr>
        <w:autoSpaceDE w:val="0"/>
        <w:autoSpaceDN w:val="0"/>
        <w:spacing w:line="240" w:lineRule="auto"/>
        <w:ind w:firstLine="420" w:firstLineChars="200"/>
        <w:jc w:val="left"/>
        <w:rPr>
          <w:rFonts w:ascii="宋体" w:hAnsi="宋体" w:cs="宋体"/>
          <w:color w:val="000000"/>
        </w:rPr>
      </w:pPr>
      <w:r>
        <w:rPr>
          <w:rFonts w:ascii="宋体" w:hAnsi="宋体" w:cs="宋体"/>
          <w:color w:val="000000"/>
        </w:rPr>
        <w:t>GB/T 3864</w:t>
      </w:r>
      <w:r>
        <w:rPr>
          <w:rFonts w:hint="eastAsia" w:ascii="宋体" w:hAnsi="宋体" w:cs="宋体"/>
          <w:color w:val="000000"/>
        </w:rPr>
        <w:t xml:space="preserve"> </w:t>
      </w:r>
      <w:r>
        <w:rPr>
          <w:rFonts w:ascii="宋体" w:hAnsi="宋体" w:cs="宋体"/>
          <w:color w:val="000000"/>
        </w:rPr>
        <w:t xml:space="preserve"> 工业氮</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w:t>
      </w:r>
      <w:r>
        <w:rPr>
          <w:rFonts w:ascii="宋体" w:hAnsi="宋体" w:cs="宋体"/>
          <w:color w:val="000000"/>
        </w:rPr>
        <w:t>B/T 4208  外壳防护等级（</w:t>
      </w:r>
      <w:r>
        <w:rPr>
          <w:rFonts w:hint="eastAsia" w:ascii="宋体" w:hAnsi="宋体" w:cs="宋体"/>
          <w:color w:val="000000"/>
        </w:rPr>
        <w:t>I</w:t>
      </w:r>
      <w:r>
        <w:rPr>
          <w:rFonts w:ascii="宋体" w:hAnsi="宋体" w:cs="宋体"/>
          <w:color w:val="000000"/>
        </w:rPr>
        <w:t>P代码）</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w:t>
      </w:r>
      <w:r>
        <w:rPr>
          <w:rFonts w:ascii="宋体" w:hAnsi="宋体" w:cs="宋体"/>
          <w:color w:val="000000"/>
        </w:rPr>
        <w:t>B/T 18384  电动汽车安全要求</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 xml:space="preserve">GB/T </w:t>
      </w:r>
      <w:r>
        <w:rPr>
          <w:rFonts w:ascii="宋体" w:hAnsi="宋体" w:cs="宋体"/>
          <w:color w:val="000000"/>
        </w:rPr>
        <w:t>19239—2022</w:t>
      </w:r>
      <w:r>
        <w:rPr>
          <w:rFonts w:hint="eastAsia" w:ascii="宋体" w:hAnsi="宋体" w:cs="宋体"/>
          <w:color w:val="000000"/>
        </w:rPr>
        <w:t xml:space="preserve">  燃气汽车燃气系统安装规范</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GB/T 24548  燃料电池电动汽车术语</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GB/T 24549  燃料电池电动汽车安全要求</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GB/T 26990</w:t>
      </w:r>
      <w:r>
        <w:rPr>
          <w:rFonts w:ascii="宋体" w:hAnsi="宋体" w:cs="宋体"/>
          <w:color w:val="000000"/>
        </w:rPr>
        <w:t>—2023</w:t>
      </w:r>
      <w:r>
        <w:rPr>
          <w:rFonts w:hint="eastAsia" w:ascii="宋体" w:hAnsi="宋体" w:cs="宋体"/>
          <w:color w:val="000000"/>
        </w:rPr>
        <w:t xml:space="preserve">  燃料电池电动汽车 车载氢系统技术条件</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GB/T 29729</w:t>
      </w:r>
      <w:r>
        <w:rPr>
          <w:rFonts w:ascii="宋体" w:hAnsi="宋体" w:cs="宋体"/>
          <w:color w:val="000000"/>
        </w:rPr>
        <w:t>—2022</w:t>
      </w:r>
      <w:r>
        <w:rPr>
          <w:rFonts w:hint="eastAsia" w:ascii="宋体" w:hAnsi="宋体" w:cs="宋体"/>
          <w:color w:val="000000"/>
        </w:rPr>
        <w:t xml:space="preserve">  氢系统安全的基本要求</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GB/T 34510—2017  汽车用液化天然气气瓶</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GB 34660  道路车辆 电磁兼容性要求和试验方法</w:t>
      </w:r>
    </w:p>
    <w:p>
      <w:pPr>
        <w:autoSpaceDE w:val="0"/>
        <w:autoSpaceDN w:val="0"/>
        <w:spacing w:line="240" w:lineRule="auto"/>
        <w:ind w:firstLine="420" w:firstLineChars="200"/>
        <w:jc w:val="left"/>
        <w:rPr>
          <w:rFonts w:ascii="宋体" w:hAnsi="宋体" w:cs="宋体"/>
          <w:color w:val="000000"/>
        </w:rPr>
      </w:pPr>
      <w:r>
        <w:rPr>
          <w:rFonts w:hint="eastAsia" w:ascii="宋体" w:hAnsi="宋体" w:cs="宋体"/>
          <w:color w:val="000000"/>
        </w:rPr>
        <w:t>GB/T 40060—2</w:t>
      </w:r>
      <w:r>
        <w:rPr>
          <w:rFonts w:ascii="宋体" w:hAnsi="宋体" w:cs="宋体"/>
          <w:color w:val="000000"/>
        </w:rPr>
        <w:t>021</w:t>
      </w:r>
      <w:r>
        <w:rPr>
          <w:rFonts w:hint="eastAsia" w:ascii="宋体" w:hAnsi="宋体" w:cs="宋体"/>
          <w:color w:val="000000"/>
        </w:rPr>
        <w:t xml:space="preserve">  液氢贮存和运输技术要求 </w:t>
      </w:r>
    </w:p>
    <w:bookmarkEnd w:id="51"/>
    <w:bookmarkEnd w:id="52"/>
    <w:bookmarkEnd w:id="53"/>
    <w:p>
      <w:pPr>
        <w:pStyle w:val="104"/>
        <w:spacing w:before="312" w:after="312"/>
      </w:pPr>
      <w:bookmarkStart w:id="54" w:name="_Toc97191425"/>
      <w:bookmarkStart w:id="55" w:name="_Toc157427476"/>
      <w:bookmarkStart w:id="56" w:name="_Toc157515890"/>
      <w:bookmarkStart w:id="57" w:name="_Toc158124058"/>
      <w:r>
        <w:rPr>
          <w:rFonts w:hint="eastAsia"/>
          <w:szCs w:val="21"/>
        </w:rPr>
        <w:t>术语和定义</w:t>
      </w:r>
      <w:bookmarkEnd w:id="54"/>
      <w:bookmarkEnd w:id="55"/>
      <w:bookmarkEnd w:id="56"/>
      <w:bookmarkEnd w:id="57"/>
    </w:p>
    <w:sdt>
      <w:sdtPr>
        <w:id w:val="0"/>
        <w:placeholder>
          <w:docPart w:val="AEDE80909DC84A4C991E70C8863029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8" w:name="_Toc26986532"/>
          <w:bookmarkEnd w:id="58"/>
          <w:r>
            <w:t>GB/T 24548、</w:t>
          </w:r>
          <w:r>
            <w:rPr>
              <w:rFonts w:hint="eastAsia"/>
            </w:rPr>
            <w:t>G</w:t>
          </w:r>
          <w:r>
            <w:t>B/T 26990界定的以及下列术语和定义适用于本文件。</w:t>
          </w:r>
        </w:p>
      </w:sdtContent>
    </w:sdt>
    <w:p>
      <w:pPr>
        <w:pStyle w:val="56"/>
        <w:ind w:firstLine="0" w:firstLineChars="0"/>
      </w:pPr>
    </w:p>
    <w:p>
      <w:pPr>
        <w:pStyle w:val="105"/>
        <w:spacing w:before="156" w:after="156"/>
      </w:pPr>
    </w:p>
    <w:p>
      <w:pPr>
        <w:pStyle w:val="56"/>
        <w:ind w:firstLine="420"/>
        <w:rPr>
          <w:rFonts w:ascii="黑体" w:hAnsi="黑体" w:eastAsia="黑体"/>
        </w:rPr>
      </w:pPr>
      <w:r>
        <w:rPr>
          <w:rFonts w:hint="eastAsia" w:ascii="黑体" w:hAnsi="黑体" w:eastAsia="黑体"/>
        </w:rPr>
        <w:t xml:space="preserve">车载液氢系统 </w:t>
      </w:r>
      <w:r>
        <w:rPr>
          <w:rFonts w:ascii="黑体" w:hAnsi="黑体" w:eastAsia="黑体"/>
        </w:rPr>
        <w:t>onboard liquefied hydrogen systems</w:t>
      </w:r>
    </w:p>
    <w:p>
      <w:pPr>
        <w:pStyle w:val="56"/>
        <w:ind w:firstLine="420"/>
        <w:rPr>
          <w:rFonts w:hAnsi="宋体"/>
        </w:rPr>
      </w:pPr>
      <w:r>
        <w:rPr>
          <w:rFonts w:hint="eastAsia" w:hAnsi="宋体"/>
        </w:rPr>
        <w:t>燃料电池电动汽车上，从液氢加注口至燃料电池进口，与氢加注、储存、供应和控制有关的装置的集合。</w:t>
      </w:r>
    </w:p>
    <w:p>
      <w:pPr>
        <w:pStyle w:val="179"/>
        <w:rPr>
          <w:rFonts w:hint="eastAsia"/>
        </w:rPr>
      </w:pPr>
      <w:r>
        <w:rPr>
          <w:rFonts w:hint="eastAsia"/>
        </w:rPr>
        <w:t>典型的车载液氢系统示意图见附录A。</w:t>
      </w:r>
    </w:p>
    <w:p>
      <w:pPr>
        <w:pStyle w:val="105"/>
        <w:spacing w:before="156" w:after="156"/>
      </w:pPr>
    </w:p>
    <w:p>
      <w:pPr>
        <w:pStyle w:val="56"/>
        <w:ind w:firstLine="420"/>
        <w:rPr>
          <w:rFonts w:ascii="黑体" w:hAnsi="黑体" w:eastAsia="黑体"/>
        </w:rPr>
      </w:pPr>
      <w:r>
        <w:rPr>
          <w:rFonts w:ascii="黑体" w:hAnsi="黑体" w:eastAsia="黑体"/>
        </w:rPr>
        <w:t>汽化器</w:t>
      </w:r>
      <w:r>
        <w:rPr>
          <w:rFonts w:hint="eastAsia" w:ascii="黑体" w:hAnsi="黑体" w:eastAsia="黑体"/>
        </w:rPr>
        <w:t xml:space="preserve"> </w:t>
      </w:r>
      <w:r>
        <w:rPr>
          <w:rFonts w:ascii="黑体" w:hAnsi="黑体" w:eastAsia="黑体"/>
        </w:rPr>
        <w:t>vaporizer</w:t>
      </w:r>
    </w:p>
    <w:p>
      <w:pPr>
        <w:pStyle w:val="56"/>
        <w:ind w:firstLine="420"/>
        <w:rPr>
          <w:rFonts w:hAnsi="宋体"/>
        </w:rPr>
      </w:pPr>
      <w:r>
        <w:rPr>
          <w:rFonts w:hAnsi="宋体"/>
        </w:rPr>
        <w:t>将液氢转换成氢气并达到电池要求的进气温度的热交换器。</w:t>
      </w:r>
    </w:p>
    <w:p>
      <w:pPr>
        <w:pStyle w:val="105"/>
        <w:spacing w:before="156" w:after="156"/>
      </w:pPr>
    </w:p>
    <w:p>
      <w:pPr>
        <w:pStyle w:val="56"/>
        <w:ind w:firstLine="420"/>
        <w:rPr>
          <w:rFonts w:ascii="黑体" w:hAnsi="黑体" w:eastAsia="黑体"/>
        </w:rPr>
      </w:pPr>
      <w:r>
        <w:rPr>
          <w:rFonts w:ascii="黑体" w:hAnsi="黑体" w:eastAsia="黑体"/>
        </w:rPr>
        <w:t>液位计</w:t>
      </w:r>
      <w:r>
        <w:rPr>
          <w:rFonts w:hint="eastAsia" w:ascii="黑体" w:hAnsi="黑体" w:eastAsia="黑体"/>
        </w:rPr>
        <w:t xml:space="preserve"> </w:t>
      </w:r>
      <w:r>
        <w:rPr>
          <w:rFonts w:ascii="黑体" w:hAnsi="黑体" w:eastAsia="黑体"/>
        </w:rPr>
        <w:t>level gauge</w:t>
      </w:r>
    </w:p>
    <w:p>
      <w:pPr>
        <w:pStyle w:val="56"/>
        <w:ind w:firstLine="420"/>
        <w:rPr>
          <w:rFonts w:hAnsi="宋体"/>
        </w:rPr>
      </w:pPr>
      <w:r>
        <w:rPr>
          <w:rFonts w:hint="eastAsia" w:hAnsi="宋体"/>
        </w:rPr>
        <w:t>测量液氢气瓶中液氢液位高度的计量装置。</w:t>
      </w:r>
    </w:p>
    <w:p>
      <w:pPr>
        <w:pStyle w:val="105"/>
        <w:spacing w:before="156" w:after="156"/>
      </w:pPr>
    </w:p>
    <w:p>
      <w:pPr>
        <w:pStyle w:val="56"/>
        <w:ind w:firstLine="420"/>
        <w:rPr>
          <w:rFonts w:ascii="黑体" w:hAnsi="黑体" w:eastAsia="黑体"/>
        </w:rPr>
      </w:pPr>
      <w:r>
        <w:rPr>
          <w:rFonts w:ascii="黑体" w:hAnsi="黑体" w:eastAsia="黑体"/>
        </w:rPr>
        <w:t>液氢加氢口</w:t>
      </w:r>
      <w:r>
        <w:rPr>
          <w:rFonts w:hint="eastAsia" w:ascii="黑体" w:hAnsi="黑体" w:eastAsia="黑体"/>
        </w:rPr>
        <w:t xml:space="preserve"> </w:t>
      </w:r>
      <w:r>
        <w:rPr>
          <w:rFonts w:ascii="黑体" w:hAnsi="黑体" w:eastAsia="黑体"/>
        </w:rPr>
        <w:t>receptacle</w:t>
      </w:r>
    </w:p>
    <w:p>
      <w:pPr>
        <w:pStyle w:val="56"/>
        <w:ind w:firstLine="420"/>
        <w:rPr>
          <w:rFonts w:hAnsi="宋体"/>
        </w:rPr>
      </w:pPr>
      <w:r>
        <w:rPr>
          <w:rFonts w:hint="eastAsia" w:hAnsi="宋体"/>
        </w:rPr>
        <w:t>燃料电池电动汽车上与加氢枪相连接的部件总成。</w:t>
      </w:r>
    </w:p>
    <w:p>
      <w:pPr>
        <w:pStyle w:val="104"/>
        <w:spacing w:before="312" w:after="312"/>
      </w:pPr>
      <w:bookmarkStart w:id="59" w:name="_Toc158124059"/>
      <w:bookmarkStart w:id="60" w:name="_Toc157515891"/>
      <w:r>
        <w:rPr>
          <w:rFonts w:hint="eastAsia"/>
        </w:rPr>
        <w:t>一般要求</w:t>
      </w:r>
      <w:bookmarkEnd w:id="59"/>
      <w:bookmarkEnd w:id="60"/>
    </w:p>
    <w:p>
      <w:pPr>
        <w:pStyle w:val="162"/>
      </w:pPr>
      <w:r>
        <w:rPr>
          <w:rFonts w:hint="eastAsia"/>
        </w:rPr>
        <w:t>液氢系统的设计、制造应按照规定程序。</w:t>
      </w:r>
    </w:p>
    <w:p>
      <w:pPr>
        <w:pStyle w:val="162"/>
      </w:pPr>
      <w:r>
        <w:rPr>
          <w:rFonts w:hint="eastAsia"/>
        </w:rPr>
        <w:t>液氢系统设计应满足以下基本要求：</w:t>
      </w:r>
    </w:p>
    <w:p>
      <w:pPr>
        <w:pStyle w:val="174"/>
      </w:pPr>
      <w:r>
        <w:rPr>
          <w:rFonts w:hint="eastAsia"/>
        </w:rPr>
        <w:t>设置安全阀；</w:t>
      </w:r>
    </w:p>
    <w:p>
      <w:pPr>
        <w:pStyle w:val="174"/>
      </w:pPr>
      <w:r>
        <w:t>设置供氢压力、气瓶压力、氢浓度</w:t>
      </w:r>
      <w:r>
        <w:rPr>
          <w:rFonts w:hint="eastAsia"/>
        </w:rPr>
        <w:t>、</w:t>
      </w:r>
      <w:r>
        <w:t>液位传感器；</w:t>
      </w:r>
    </w:p>
    <w:p>
      <w:pPr>
        <w:pStyle w:val="174"/>
      </w:pPr>
      <w:r>
        <w:t>设置自动切断液氢供应的主关断阀。</w:t>
      </w:r>
    </w:p>
    <w:p>
      <w:pPr>
        <w:pStyle w:val="162"/>
      </w:pPr>
      <w:r>
        <w:rPr>
          <w:rFonts w:hint="eastAsia"/>
        </w:rPr>
        <w:t>液氢系统所用材料应符合G</w:t>
      </w:r>
      <w:r>
        <w:t>B/T 29729</w:t>
      </w:r>
      <w:r>
        <w:rPr>
          <w:rFonts w:hAnsi="宋体" w:cs="宋体"/>
          <w:color w:val="000000"/>
        </w:rPr>
        <w:t>—</w:t>
      </w:r>
      <w:r>
        <w:t>2022 7.2.2的规定。与液氢介质接触的受压元件材料应以固溶状态交货，且铁素体含量应不大于</w:t>
      </w:r>
      <w:r>
        <w:rPr>
          <w:rFonts w:hint="eastAsia"/>
        </w:rPr>
        <w:t>3</w:t>
      </w:r>
      <w:r>
        <w:t>%。</w:t>
      </w:r>
    </w:p>
    <w:p>
      <w:pPr>
        <w:pStyle w:val="104"/>
        <w:spacing w:before="312" w:after="312"/>
      </w:pPr>
      <w:bookmarkStart w:id="61" w:name="_Toc158124060"/>
      <w:bookmarkStart w:id="62" w:name="_Toc157515892"/>
      <w:r>
        <w:rPr>
          <w:rFonts w:hint="eastAsia"/>
        </w:rPr>
        <w:t>系统安全</w:t>
      </w:r>
      <w:bookmarkEnd w:id="61"/>
      <w:bookmarkEnd w:id="62"/>
    </w:p>
    <w:p>
      <w:pPr>
        <w:pStyle w:val="162"/>
        <w:rPr>
          <w:rFonts w:hAnsi="宋体"/>
        </w:rPr>
      </w:pPr>
      <w:r>
        <w:rPr>
          <w:rFonts w:hint="eastAsia"/>
        </w:rPr>
        <w:t>车载液氢系统应有泄漏探测装置并将信号传递给氢气浓度报警装置，氢气泄漏监测及警告等处置应符合G</w:t>
      </w:r>
      <w:r>
        <w:t>B/T 24549的规定。</w:t>
      </w:r>
    </w:p>
    <w:p>
      <w:pPr>
        <w:pStyle w:val="179"/>
      </w:pPr>
      <w:r>
        <w:rPr>
          <w:rFonts w:hint="eastAsia"/>
        </w:rPr>
        <w:t xml:space="preserve">典型的车载液氢系统示意图见附录A。 </w:t>
      </w:r>
      <w:r>
        <w:t xml:space="preserve">   </w:t>
      </w:r>
    </w:p>
    <w:p>
      <w:pPr>
        <w:pStyle w:val="162"/>
        <w:rPr>
          <w:rFonts w:hAnsi="宋体"/>
        </w:rPr>
      </w:pPr>
      <w:r>
        <w:rPr>
          <w:rFonts w:hint="eastAsia"/>
        </w:rPr>
        <w:t>车载液氢系统和车架连接如果有非金属隔离应跨接，跨接电阻值应不大于0</w:t>
      </w:r>
      <w:r>
        <w:t>.</w:t>
      </w:r>
      <w:r>
        <w:rPr>
          <w:rFonts w:hAnsi="宋体"/>
        </w:rPr>
        <w:t>1Ω，应符合</w:t>
      </w:r>
      <w:r>
        <w:rPr>
          <w:rFonts w:hint="eastAsia" w:hAnsi="宋体"/>
        </w:rPr>
        <w:t>G</w:t>
      </w:r>
      <w:r>
        <w:rPr>
          <w:rFonts w:hAnsi="宋体"/>
        </w:rPr>
        <w:t>B/T 18384的规定。</w:t>
      </w:r>
    </w:p>
    <w:p>
      <w:pPr>
        <w:pStyle w:val="162"/>
      </w:pPr>
      <w:r>
        <w:rPr>
          <w:rFonts w:hint="eastAsia"/>
        </w:rPr>
        <w:t>车载液氢系统应设置保护装置，安全附件、阀件、仪表等附件不应超过保护装置的外端面。涉及深冷霜的部位应设置导流装置，裸露的液氢管路应采取防液空措施。</w:t>
      </w:r>
    </w:p>
    <w:p>
      <w:pPr>
        <w:pStyle w:val="162"/>
      </w:pPr>
      <w:r>
        <w:t>车载液氢系统按本文件</w:t>
      </w:r>
      <w:r>
        <w:rPr>
          <w:rFonts w:hint="eastAsia"/>
        </w:rPr>
        <w:t>9</w:t>
      </w:r>
      <w:r>
        <w:t>.1进行气密试验，应满足</w:t>
      </w:r>
      <w:r>
        <w:rPr>
          <w:rFonts w:hint="eastAsia"/>
        </w:rPr>
        <w:t>G</w:t>
      </w:r>
      <w:r>
        <w:t>B/T 19239</w:t>
      </w:r>
      <w:r>
        <w:rPr>
          <w:rFonts w:hAnsi="宋体" w:cs="宋体"/>
          <w:color w:val="000000"/>
        </w:rPr>
        <w:t>—</w:t>
      </w:r>
      <w:r>
        <w:t>2022 5.1的要求。</w:t>
      </w:r>
    </w:p>
    <w:p>
      <w:pPr>
        <w:pStyle w:val="162"/>
      </w:pPr>
      <w:r>
        <w:t>车载液氢系统应控制排放氢气的速度不超过</w:t>
      </w:r>
      <w:r>
        <w:rPr>
          <w:rFonts w:hint="eastAsia"/>
        </w:rPr>
        <w:t>1</w:t>
      </w:r>
      <w:r>
        <w:t>50 m/s，放空管口温度应不低于</w:t>
      </w:r>
      <w:r>
        <w:rPr>
          <w:rFonts w:hint="eastAsia"/>
        </w:rPr>
        <w:t>9</w:t>
      </w:r>
      <w:r>
        <w:t>0 K。</w:t>
      </w:r>
    </w:p>
    <w:p>
      <w:pPr>
        <w:pStyle w:val="162"/>
      </w:pPr>
      <w:r>
        <w:t>车载液氢系统安装支架为轻量化非燃烧体。</w:t>
      </w:r>
    </w:p>
    <w:p>
      <w:pPr>
        <w:pStyle w:val="162"/>
      </w:pPr>
      <w:r>
        <w:t>车载液氢系统应设置明显的警示标识，如易燃气体、低温冻伤、严禁明火、禁止蹬踏等。</w:t>
      </w:r>
    </w:p>
    <w:p>
      <w:pPr>
        <w:pStyle w:val="104"/>
        <w:spacing w:before="312" w:after="312"/>
      </w:pPr>
      <w:bookmarkStart w:id="63" w:name="_Toc157515893"/>
      <w:bookmarkStart w:id="64" w:name="_Toc158124061"/>
      <w:r>
        <w:t>部件安全</w:t>
      </w:r>
      <w:bookmarkEnd w:id="63"/>
      <w:bookmarkEnd w:id="64"/>
    </w:p>
    <w:p>
      <w:pPr>
        <w:pStyle w:val="105"/>
        <w:spacing w:before="156" w:after="156"/>
      </w:pPr>
      <w:r>
        <w:rPr>
          <w:rFonts w:hint="eastAsia"/>
        </w:rPr>
        <w:t>液氢气瓶</w:t>
      </w:r>
    </w:p>
    <w:p>
      <w:pPr>
        <w:pStyle w:val="165"/>
      </w:pPr>
      <w:r>
        <w:rPr>
          <w:rFonts w:hint="eastAsia"/>
        </w:rPr>
        <w:t>液氢气瓶的设计、制造、试验、检验、运输、存放和使用应符合相应标准的要求，并满足国家特种设备相关规程。</w:t>
      </w:r>
    </w:p>
    <w:p>
      <w:pPr>
        <w:pStyle w:val="165"/>
      </w:pPr>
      <w:r>
        <w:t>液氢气瓶管路设置应具备充液、出液、自动和手动泄压、压力测量、液位测量等基本功能</w:t>
      </w:r>
      <w:r>
        <w:rPr>
          <w:rFonts w:hint="eastAsia"/>
        </w:rPr>
        <w:t>。阀门宜标明介质流向，并且截止阀应标明开启和关闭方向。</w:t>
      </w:r>
    </w:p>
    <w:p>
      <w:pPr>
        <w:pStyle w:val="165"/>
      </w:pPr>
      <w:r>
        <w:t>液氢气瓶应安装压力表，氢介质接触的压力表应采用布尔登管式，压力表量程为公称工作压力的</w:t>
      </w:r>
      <w:r>
        <w:rPr>
          <w:rFonts w:hint="eastAsia"/>
        </w:rPr>
        <w:t>1</w:t>
      </w:r>
      <w:r>
        <w:t>.5倍</w:t>
      </w:r>
      <w:r>
        <w:rPr>
          <w:rFonts w:hint="eastAsia" w:hAnsi="宋体"/>
          <w:vertAlign w:val="superscript"/>
        </w:rPr>
        <w:t>～</w:t>
      </w:r>
      <w:r>
        <w:rPr>
          <w:rFonts w:hint="eastAsia"/>
        </w:rPr>
        <w:t>3</w:t>
      </w:r>
      <w:r>
        <w:t>.0倍，精度不低于</w:t>
      </w:r>
      <w:r>
        <w:rPr>
          <w:rFonts w:hint="eastAsia"/>
        </w:rPr>
        <w:t>2</w:t>
      </w:r>
      <w:r>
        <w:t>.5级。</w:t>
      </w:r>
    </w:p>
    <w:p>
      <w:pPr>
        <w:pStyle w:val="165"/>
      </w:pPr>
      <w:r>
        <w:t>液氢气瓶内容</w:t>
      </w:r>
      <w:r>
        <w:rPr>
          <w:rFonts w:hint="eastAsia"/>
        </w:rPr>
        <w:t>器的安全阀不少于两只，且应与液氢介质相适应，安全阀入口接管应各自与内胆气相空间直接连通，安全阀前不应设置截止阀。</w:t>
      </w:r>
    </w:p>
    <w:p>
      <w:pPr>
        <w:pStyle w:val="165"/>
      </w:pPr>
      <w:r>
        <w:t>每只安全阀的安全泄放量和排放能力应能单独满足安全泄放的要求。安全阀在排放后，回座压力应不低于安全阀设定压力的</w:t>
      </w:r>
      <w:r>
        <w:rPr>
          <w:rFonts w:hint="eastAsia"/>
        </w:rPr>
        <w:t>9</w:t>
      </w:r>
      <w:r>
        <w:t>0%。</w:t>
      </w:r>
    </w:p>
    <w:p>
      <w:pPr>
        <w:pStyle w:val="165"/>
      </w:pPr>
      <w:r>
        <w:rPr>
          <w:rFonts w:hint="eastAsia"/>
        </w:rPr>
        <w:t>液氢气瓶应标明安全阀的安全等级，安全阀上应安装铅密封或等效系统。</w:t>
      </w:r>
    </w:p>
    <w:p>
      <w:pPr>
        <w:pStyle w:val="165"/>
      </w:pPr>
      <w:r>
        <w:t>液氢气瓶应按本文件</w:t>
      </w:r>
      <w:r>
        <w:rPr>
          <w:rFonts w:hint="eastAsia"/>
        </w:rPr>
        <w:t>9</w:t>
      </w:r>
      <w:r>
        <w:t>.2的规定，达到安全性能试验要求。</w:t>
      </w:r>
    </w:p>
    <w:p>
      <w:pPr>
        <w:pStyle w:val="165"/>
      </w:pPr>
      <w:r>
        <w:t>液氢气瓶出厂应对内胆充装满足</w:t>
      </w:r>
      <w:r>
        <w:rPr>
          <w:rFonts w:hint="eastAsia"/>
        </w:rPr>
        <w:t>G</w:t>
      </w:r>
      <w:r>
        <w:t>B/T 3864标准要求的氮气，气瓶表压达到</w:t>
      </w:r>
      <w:r>
        <w:rPr>
          <w:rFonts w:hint="eastAsia"/>
        </w:rPr>
        <w:t>0</w:t>
      </w:r>
      <w:r>
        <w:t>.01MPa</w:t>
      </w:r>
      <w:r>
        <w:rPr>
          <w:rFonts w:hint="eastAsia" w:hAnsi="宋体"/>
        </w:rPr>
        <w:t>-</w:t>
      </w:r>
      <w:r>
        <w:t>0.05MPa，关闭所有阀门。</w:t>
      </w:r>
    </w:p>
    <w:p>
      <w:pPr>
        <w:pStyle w:val="105"/>
        <w:spacing w:before="156" w:after="156"/>
      </w:pPr>
      <w:r>
        <w:rPr>
          <w:rFonts w:hint="eastAsia"/>
        </w:rPr>
        <w:t>汽化器</w:t>
      </w:r>
    </w:p>
    <w:p>
      <w:pPr>
        <w:pStyle w:val="165"/>
      </w:pPr>
      <w:r>
        <w:rPr>
          <w:rFonts w:hint="eastAsia"/>
        </w:rPr>
        <w:t>液氢汽化器应在燃料电池氢气消耗最大时，将液氢安全汽化，并将氢气温度加热到燃料电池允许的进气温度范围内。</w:t>
      </w:r>
    </w:p>
    <w:p>
      <w:pPr>
        <w:pStyle w:val="165"/>
      </w:pPr>
      <w:r>
        <w:t>有可能产生液空的位置应设置收集板。</w:t>
      </w:r>
    </w:p>
    <w:p>
      <w:pPr>
        <w:pStyle w:val="165"/>
      </w:pPr>
      <w:r>
        <w:t>汽化器采用燃料电池循环水加热时，其安装位置应低于膨胀水箱的最低水位高度。</w:t>
      </w:r>
    </w:p>
    <w:p>
      <w:pPr>
        <w:pStyle w:val="105"/>
        <w:spacing w:before="156" w:after="156"/>
      </w:pPr>
      <w:r>
        <w:rPr>
          <w:rFonts w:hint="eastAsia"/>
        </w:rPr>
        <w:t>管路及附件</w:t>
      </w:r>
    </w:p>
    <w:p>
      <w:pPr>
        <w:pStyle w:val="165"/>
      </w:pPr>
      <w:r>
        <w:rPr>
          <w:rFonts w:hint="eastAsia"/>
        </w:rPr>
        <w:t>管路设计应</w:t>
      </w:r>
      <w:r>
        <w:t>使用满足工作压力、工作温度要求的无缝钢管。</w:t>
      </w:r>
    </w:p>
    <w:p>
      <w:pPr>
        <w:pStyle w:val="165"/>
      </w:pPr>
      <w:r>
        <w:t>加注口应具有能够防止尘土、液体和污染物等进入的防尘盖，防尘盖旁边应注明液氢加注口的最高加注压力。</w:t>
      </w:r>
    </w:p>
    <w:p>
      <w:pPr>
        <w:pStyle w:val="165"/>
      </w:pPr>
      <w:r>
        <w:t>阀门、过滤器等管路附件，应标明使用等级的永久标记。</w:t>
      </w:r>
    </w:p>
    <w:p>
      <w:pPr>
        <w:pStyle w:val="165"/>
      </w:pPr>
      <w:r>
        <w:t>车载液氢系统的主关断阀应为常闭阀。</w:t>
      </w:r>
    </w:p>
    <w:p>
      <w:pPr>
        <w:pStyle w:val="105"/>
        <w:spacing w:before="156" w:after="156"/>
      </w:pPr>
      <w:r>
        <w:rPr>
          <w:rFonts w:hint="eastAsia"/>
        </w:rPr>
        <w:t>仪表及控制器</w:t>
      </w:r>
    </w:p>
    <w:p>
      <w:pPr>
        <w:pStyle w:val="165"/>
      </w:pPr>
      <w:r>
        <w:rPr>
          <w:rFonts w:hint="eastAsia"/>
        </w:rPr>
        <w:t>按G</w:t>
      </w:r>
      <w:r>
        <w:t>B/T 4208规定的试验方法，</w:t>
      </w:r>
      <w:r>
        <w:rPr>
          <w:rFonts w:hint="eastAsia"/>
        </w:rPr>
        <w:t>车载液氢系统电气部件的防护等级应不低于I</w:t>
      </w:r>
      <w:r>
        <w:t>P67；</w:t>
      </w:r>
    </w:p>
    <w:p>
      <w:pPr>
        <w:pStyle w:val="165"/>
      </w:pPr>
      <w:r>
        <w:t>电器部件的防爆性能应达到</w:t>
      </w:r>
      <w:r>
        <w:rPr>
          <w:rFonts w:hint="eastAsia"/>
        </w:rPr>
        <w:t>G</w:t>
      </w:r>
      <w:r>
        <w:t>B/T 3836.4的要求；</w:t>
      </w:r>
    </w:p>
    <w:p>
      <w:pPr>
        <w:pStyle w:val="165"/>
      </w:pPr>
      <w:r>
        <w:t>电器兼容应满足</w:t>
      </w:r>
      <w:r>
        <w:rPr>
          <w:rFonts w:hint="eastAsia"/>
        </w:rPr>
        <w:t>G</w:t>
      </w:r>
      <w:r>
        <w:t>B 34660的相关规定。</w:t>
      </w:r>
    </w:p>
    <w:p>
      <w:pPr>
        <w:pStyle w:val="165"/>
      </w:pPr>
      <w:r>
        <w:t>控制器应有液位测量采集并将液位信号传输至整车控制的功能</w:t>
      </w:r>
      <w:r>
        <w:rPr>
          <w:rFonts w:hint="eastAsia"/>
        </w:rPr>
        <w:t>。且当液氢剩余量低于最大充装量5</w:t>
      </w:r>
      <w:r>
        <w:t>%时应提供警示信号。</w:t>
      </w:r>
    </w:p>
    <w:p>
      <w:pPr>
        <w:pStyle w:val="104"/>
        <w:spacing w:before="312" w:after="312"/>
      </w:pPr>
      <w:bookmarkStart w:id="65" w:name="_Toc157515894"/>
      <w:bookmarkStart w:id="66" w:name="_Toc158124062"/>
      <w:r>
        <w:rPr>
          <w:rFonts w:hint="eastAsia"/>
        </w:rPr>
        <w:t>布置、安装及防护</w:t>
      </w:r>
      <w:bookmarkEnd w:id="65"/>
      <w:bookmarkEnd w:id="66"/>
    </w:p>
    <w:p>
      <w:pPr>
        <w:pStyle w:val="162"/>
      </w:pPr>
      <w:r>
        <w:rPr>
          <w:rFonts w:hint="eastAsia"/>
        </w:rPr>
        <w:t>车载液氢系统宜布置在介于观察和操作的位置，与蓄电池、电器等可能产生电弧的整车零部件分区布置。</w:t>
      </w:r>
    </w:p>
    <w:p>
      <w:pPr>
        <w:pStyle w:val="162"/>
      </w:pPr>
      <w:r>
        <w:t>车载液氢系统管路及低温管路与汽车电器线路、水管路、气管路、油管路及其他不耐低温的部件的距离宜不小于</w:t>
      </w:r>
      <w:r>
        <w:rPr>
          <w:rFonts w:hint="eastAsia"/>
        </w:rPr>
        <w:t>2</w:t>
      </w:r>
      <w:r>
        <w:t>5 mm。</w:t>
      </w:r>
    </w:p>
    <w:p>
      <w:pPr>
        <w:pStyle w:val="162"/>
      </w:pPr>
      <w:r>
        <w:t>车载液氢系统的管路接头应距离电器件、蓄电池及其它可能产生电火花的位置</w:t>
      </w:r>
      <w:r>
        <w:rPr>
          <w:rFonts w:hint="eastAsia"/>
        </w:rPr>
        <w:t>2</w:t>
      </w:r>
      <w:r>
        <w:t>00 mm及以上，否则应增加保护装置。</w:t>
      </w:r>
    </w:p>
    <w:p>
      <w:pPr>
        <w:pStyle w:val="162"/>
      </w:pPr>
      <w:r>
        <w:t>车载液氢系统阀件上方不宜有结构阻挡，布局无法满足时，上方结构应有利于氢气扩散。</w:t>
      </w:r>
    </w:p>
    <w:p>
      <w:pPr>
        <w:pStyle w:val="162"/>
      </w:pPr>
      <w:r>
        <w:t>车载液氢系统采取氢集中安全排放措施，排放总管应安装在汽车的高处。</w:t>
      </w:r>
    </w:p>
    <w:p>
      <w:pPr>
        <w:pStyle w:val="162"/>
      </w:pPr>
      <w:r>
        <w:rPr>
          <w:rFonts w:hint="eastAsia"/>
        </w:rPr>
        <w:t>车载液氢系统</w:t>
      </w:r>
      <w:r>
        <w:t>线束布置和走向合理，并卡固良好，不应与相邻部件摩擦。</w:t>
      </w:r>
    </w:p>
    <w:p>
      <w:pPr>
        <w:pStyle w:val="162"/>
      </w:pPr>
      <w:r>
        <w:rPr>
          <w:rFonts w:hint="eastAsia"/>
        </w:rPr>
        <w:t>车载液氢系统安装应满足车辆承载件的强度和其他相关汽车安全部件的要求，不应采用导致降低车辆承载件强度和刚度的安装方法，不应将车载液氢系统作为承载件使用。</w:t>
      </w:r>
    </w:p>
    <w:p>
      <w:pPr>
        <w:pStyle w:val="162"/>
      </w:pPr>
      <w:r>
        <w:t>车载液氢系统安装应满足以下要求：</w:t>
      </w:r>
    </w:p>
    <w:p>
      <w:pPr>
        <w:pStyle w:val="132"/>
      </w:pPr>
      <w:r>
        <w:rPr>
          <w:rFonts w:hint="eastAsia"/>
        </w:rPr>
        <w:t>安装牢固，安装强度符合G</w:t>
      </w:r>
      <w:r>
        <w:t>B/T 26990</w:t>
      </w:r>
      <w:r>
        <w:rPr>
          <w:rFonts w:hAnsi="宋体" w:cs="宋体"/>
          <w:color w:val="000000"/>
        </w:rPr>
        <w:t>—</w:t>
      </w:r>
      <w:r>
        <w:t>2023 5.3 的要求；</w:t>
      </w:r>
    </w:p>
    <w:p>
      <w:pPr>
        <w:pStyle w:val="132"/>
      </w:pPr>
      <w:r>
        <w:t>紧固带与液氢气瓶之间应有缓冲保护垫；</w:t>
      </w:r>
    </w:p>
    <w:p>
      <w:pPr>
        <w:pStyle w:val="132"/>
      </w:pPr>
      <w:r>
        <w:t>液氢气瓶无变形、磨损；</w:t>
      </w:r>
      <w:r>
        <w:rPr>
          <w:rFonts w:hint="eastAsia"/>
        </w:rPr>
        <w:t xml:space="preserve"> </w:t>
      </w:r>
    </w:p>
    <w:p>
      <w:pPr>
        <w:pStyle w:val="132"/>
      </w:pPr>
      <w:r>
        <w:t>液氢气瓶编号易于观察、加氢口易于加注；</w:t>
      </w:r>
    </w:p>
    <w:p>
      <w:pPr>
        <w:pStyle w:val="132"/>
      </w:pPr>
      <w:r>
        <w:t>车载液氢系统及管路件、附件应距车辆边缘至少有</w:t>
      </w:r>
      <w:r>
        <w:rPr>
          <w:rFonts w:hint="eastAsia"/>
        </w:rPr>
        <w:t>1</w:t>
      </w:r>
      <w:r>
        <w:t>00 mm的距离，距离不足时，应增加保护措施；</w:t>
      </w:r>
    </w:p>
    <w:p>
      <w:pPr>
        <w:pStyle w:val="132"/>
      </w:pPr>
      <w:r>
        <w:t>能产生相对位移的部件</w:t>
      </w:r>
      <w:r>
        <w:rPr>
          <w:rFonts w:hint="eastAsia"/>
        </w:rPr>
        <w:t>之间采用柔性管路连接，管路排列整齐，走向平顺，无打折现象。</w:t>
      </w:r>
    </w:p>
    <w:p>
      <w:pPr>
        <w:pStyle w:val="162"/>
      </w:pPr>
      <w:r>
        <w:rPr>
          <w:rFonts w:hint="eastAsia"/>
        </w:rPr>
        <w:t>车载液氢气瓶应加装防护装置，气瓶阀门应有防止碰撞的保护装置。</w:t>
      </w:r>
    </w:p>
    <w:p>
      <w:pPr>
        <w:pStyle w:val="104"/>
        <w:spacing w:before="312" w:after="312"/>
      </w:pPr>
      <w:bookmarkStart w:id="67" w:name="_Toc157515895"/>
      <w:bookmarkStart w:id="68" w:name="_Toc158124063"/>
      <w:r>
        <w:rPr>
          <w:rFonts w:hint="eastAsia"/>
        </w:rPr>
        <w:t>运行安全</w:t>
      </w:r>
      <w:bookmarkEnd w:id="67"/>
      <w:bookmarkEnd w:id="68"/>
    </w:p>
    <w:p>
      <w:pPr>
        <w:pStyle w:val="162"/>
      </w:pPr>
      <w:r>
        <w:t>液氢加注前，对液氢系统进行置换，气瓶内的物质应满足</w:t>
      </w:r>
      <w:r>
        <w:rPr>
          <w:rFonts w:hint="eastAsia"/>
        </w:rPr>
        <w:t>G</w:t>
      </w:r>
      <w:r>
        <w:t>B/T 40060</w:t>
      </w:r>
      <w:r>
        <w:rPr>
          <w:rFonts w:hAnsi="宋体" w:cs="宋体"/>
          <w:color w:val="000000"/>
        </w:rPr>
        <w:t>—</w:t>
      </w:r>
      <w:r>
        <w:t>2021中第</w:t>
      </w:r>
      <w:r>
        <w:rPr>
          <w:rFonts w:hint="eastAsia"/>
        </w:rPr>
        <w:t>6章的要求。</w:t>
      </w:r>
    </w:p>
    <w:p>
      <w:pPr>
        <w:pStyle w:val="162"/>
      </w:pPr>
      <w:r>
        <w:t>定期目视检验车载液氢系统外壳和外管表面，不应有损坏、过度结霜的迹象。</w:t>
      </w:r>
    </w:p>
    <w:p>
      <w:pPr>
        <w:pStyle w:val="162"/>
      </w:pPr>
      <w:r>
        <w:t>车辆运行前，若氢气浓度报警装置报警，应按本文件</w:t>
      </w:r>
      <w:r>
        <w:rPr>
          <w:rFonts w:hint="eastAsia"/>
        </w:rPr>
        <w:t>9</w:t>
      </w:r>
      <w:r>
        <w:t>.5规定的方法进行氢气泄漏检测。报警信息解除后方可运行。</w:t>
      </w:r>
    </w:p>
    <w:p>
      <w:pPr>
        <w:pStyle w:val="162"/>
      </w:pPr>
      <w:r>
        <w:t>车辆运行过程中，车载液氢系统出现结霜、异响、异味等现象时，应立即关闭主观断阀，并及时送修。</w:t>
      </w:r>
    </w:p>
    <w:p>
      <w:pPr>
        <w:pStyle w:val="162"/>
      </w:pPr>
      <w:r>
        <w:t>车辆隔夜停放时，应关闭主关断阀，检查车载液氢系统是否正常，有无漏气现象，气瓶固定装置有无松动。</w:t>
      </w:r>
    </w:p>
    <w:p>
      <w:pPr>
        <w:pStyle w:val="162"/>
      </w:pPr>
      <w:r>
        <w:t>车辆长期停放时，应定期巡检液氢气瓶压力。当气瓶压力接近气瓶安全阀放散压力时，应及时放散到</w:t>
      </w:r>
      <w:r>
        <w:rPr>
          <w:rFonts w:hint="eastAsia"/>
        </w:rPr>
        <w:t>0</w:t>
      </w:r>
      <w:r>
        <w:t>.3MPa</w:t>
      </w:r>
      <w:r>
        <w:rPr>
          <w:rFonts w:hint="eastAsia" w:hAnsi="宋体"/>
        </w:rPr>
        <w:t>-</w:t>
      </w:r>
      <w:r>
        <w:t>0.5MPa。</w:t>
      </w:r>
    </w:p>
    <w:p>
      <w:pPr>
        <w:pStyle w:val="162"/>
      </w:pPr>
      <w:r>
        <w:t>发现氢气泄漏时，及时关闭主关断阀，将车辆运行至空旷场地。</w:t>
      </w:r>
    </w:p>
    <w:p>
      <w:pPr>
        <w:pStyle w:val="162"/>
      </w:pPr>
      <w:r>
        <w:t>车载液氢系统维修时不应带压作业</w:t>
      </w:r>
      <w:r>
        <w:rPr>
          <w:rFonts w:hint="eastAsia"/>
        </w:rPr>
        <w:t>。</w:t>
      </w:r>
    </w:p>
    <w:p>
      <w:pPr>
        <w:pStyle w:val="162"/>
      </w:pPr>
      <w:r>
        <w:t>维修后的车载液氢系统应经耐压、吹扫、气密试验、置换检验合格后投入使用</w:t>
      </w:r>
    </w:p>
    <w:p>
      <w:pPr>
        <w:pStyle w:val="104"/>
        <w:spacing w:before="312" w:after="312"/>
      </w:pPr>
      <w:bookmarkStart w:id="69" w:name="_Toc157515896"/>
      <w:bookmarkStart w:id="70" w:name="_Toc158124064"/>
      <w:r>
        <w:t>试验</w:t>
      </w:r>
      <w:bookmarkEnd w:id="69"/>
      <w:r>
        <w:t>要求</w:t>
      </w:r>
      <w:bookmarkEnd w:id="70"/>
    </w:p>
    <w:p>
      <w:pPr>
        <w:pStyle w:val="162"/>
      </w:pPr>
      <w:r>
        <w:t>车载液氢系统的气密性试验按</w:t>
      </w:r>
      <w:r>
        <w:rPr>
          <w:rFonts w:hint="eastAsia"/>
        </w:rPr>
        <w:t>G</w:t>
      </w:r>
      <w:r>
        <w:t>B/T 26990</w:t>
      </w:r>
      <w:r>
        <w:rPr>
          <w:rFonts w:hAnsi="宋体" w:cs="宋体"/>
          <w:color w:val="000000"/>
        </w:rPr>
        <w:t>—</w:t>
      </w:r>
      <w:r>
        <w:t>2023 7.3的要求进行。</w:t>
      </w:r>
    </w:p>
    <w:p>
      <w:pPr>
        <w:pStyle w:val="162"/>
      </w:pPr>
      <w:r>
        <w:t>液氢气瓶的安全试验按</w:t>
      </w:r>
      <w:r>
        <w:rPr>
          <w:rFonts w:hint="eastAsia"/>
        </w:rPr>
        <w:t>G</w:t>
      </w:r>
      <w:r>
        <w:t>B/T 34510</w:t>
      </w:r>
      <w:r>
        <w:rPr>
          <w:rFonts w:hAnsi="宋体" w:cs="宋体"/>
          <w:color w:val="000000"/>
        </w:rPr>
        <w:t>—</w:t>
      </w:r>
      <w:r>
        <w:t>2017附录</w:t>
      </w:r>
      <w:r>
        <w:rPr>
          <w:rFonts w:hint="eastAsia"/>
        </w:rPr>
        <w:t>A的要求进行。</w:t>
      </w:r>
    </w:p>
    <w:p>
      <w:pPr>
        <w:pStyle w:val="162"/>
      </w:pPr>
      <w:r>
        <w:t>电磁兼容的试验方法按</w:t>
      </w:r>
      <w:r>
        <w:rPr>
          <w:rFonts w:hint="eastAsia"/>
        </w:rPr>
        <w:t>G</w:t>
      </w:r>
      <w:r>
        <w:t>B 34660的要求进行。</w:t>
      </w:r>
    </w:p>
    <w:p>
      <w:pPr>
        <w:pStyle w:val="162"/>
      </w:pPr>
      <w:r>
        <w:t>车载液氢系统安装强度试验方法按</w:t>
      </w:r>
      <w:r>
        <w:rPr>
          <w:rFonts w:hint="eastAsia"/>
        </w:rPr>
        <w:t>G</w:t>
      </w:r>
      <w:r>
        <w:t>B/T 26990</w:t>
      </w:r>
      <w:r>
        <w:rPr>
          <w:rFonts w:hAnsi="宋体" w:cs="宋体"/>
          <w:color w:val="000000"/>
        </w:rPr>
        <w:t>—</w:t>
      </w:r>
      <w:r>
        <w:t>2023 7.2的要求。</w:t>
      </w:r>
    </w:p>
    <w:p>
      <w:pPr>
        <w:pStyle w:val="162"/>
      </w:pPr>
      <w:r>
        <w:t>车载液氢系统的泄漏检测按以下两种方式之一进行：</w:t>
      </w:r>
    </w:p>
    <w:p>
      <w:pPr>
        <w:pStyle w:val="174"/>
        <w:numPr>
          <w:ilvl w:val="0"/>
          <w:numId w:val="32"/>
        </w:numPr>
      </w:pPr>
      <w:r>
        <w:rPr>
          <w:rFonts w:hint="eastAsia"/>
        </w:rPr>
        <w:t>使用泄漏检测液检测。在管路接头处，将泄漏检测液涂覆在整个被检漏部位的表面上，观察3</w:t>
      </w:r>
      <w:r>
        <w:t xml:space="preserve"> min，所检测的区域不应出现气泡；</w:t>
      </w:r>
    </w:p>
    <w:p>
      <w:pPr>
        <w:pStyle w:val="174"/>
        <w:numPr>
          <w:ilvl w:val="0"/>
          <w:numId w:val="32"/>
        </w:numPr>
      </w:pPr>
      <w:r>
        <w:t>使用气体检测仪检测。检测前，将被检测部位的残余油污或密封剂清除干净，手持气体检测仪在距氢气管路接头</w:t>
      </w:r>
      <w:r>
        <w:rPr>
          <w:rFonts w:hint="eastAsia"/>
        </w:rPr>
        <w:t>1</w:t>
      </w:r>
      <w:r>
        <w:t>0 mm左右处，检测氢气浓度值，应不高于</w:t>
      </w:r>
      <w:r>
        <w:rPr>
          <w:rFonts w:hint="eastAsia"/>
        </w:rPr>
        <w:t>1</w:t>
      </w:r>
      <w:r>
        <w:t>00 ppm。</w:t>
      </w:r>
    </w:p>
    <w:p>
      <w:pPr>
        <w:pStyle w:val="174"/>
        <w:numPr>
          <w:ilvl w:val="0"/>
          <w:numId w:val="32"/>
        </w:numPr>
        <w:sectPr>
          <w:pgSz w:w="11906" w:h="16838"/>
          <w:pgMar w:top="1928" w:right="1134" w:bottom="1134" w:left="1134" w:header="1418" w:footer="1134" w:gutter="284"/>
          <w:pgNumType w:start="1"/>
          <w:cols w:space="425" w:num="1"/>
          <w:formProt w:val="0"/>
          <w:docGrid w:type="lines" w:linePitch="312" w:charSpace="0"/>
        </w:sectPr>
      </w:pPr>
    </w:p>
    <w:bookmarkEnd w:id="25"/>
    <w:p>
      <w:pPr>
        <w:pStyle w:val="198"/>
        <w:rPr>
          <w:vanish w:val="0"/>
        </w:rPr>
      </w:pPr>
      <w:bookmarkStart w:id="71" w:name="BookMark5"/>
    </w:p>
    <w:p>
      <w:pPr>
        <w:pStyle w:val="199"/>
        <w:rPr>
          <w:vanish w:val="0"/>
        </w:rPr>
      </w:pPr>
    </w:p>
    <w:p>
      <w:pPr>
        <w:pStyle w:val="76"/>
        <w:spacing w:after="156"/>
      </w:pPr>
      <w:r>
        <w:br w:type="textWrapping"/>
      </w:r>
      <w:bookmarkStart w:id="72" w:name="_Toc157515897"/>
      <w:bookmarkStart w:id="73" w:name="_Toc158124065"/>
      <w:r>
        <w:rPr>
          <w:rFonts w:hint="eastAsia"/>
        </w:rPr>
        <w:t>（资料性）</w:t>
      </w:r>
      <w:r>
        <w:br w:type="textWrapping"/>
      </w:r>
      <w:r>
        <w:rPr>
          <w:rFonts w:hint="eastAsia"/>
        </w:rPr>
        <w:t>车载液氢系统示意图</w:t>
      </w:r>
      <w:bookmarkEnd w:id="72"/>
      <w:bookmarkEnd w:id="73"/>
    </w:p>
    <w:p>
      <w:pPr>
        <w:pStyle w:val="211"/>
      </w:pPr>
      <w:r>
        <w:rPr>
          <w:rFonts w:hint="eastAsia"/>
        </w:rPr>
        <w:t>典型车载液氢系统示意图见图A</w:t>
      </w:r>
      <w:r>
        <w:t>.1。</w:t>
      </w:r>
    </w:p>
    <w:p>
      <w:pPr>
        <w:pStyle w:val="211"/>
        <w:numPr>
          <w:ilvl w:val="0"/>
          <w:numId w:val="0"/>
        </w:numPr>
      </w:pPr>
      <w:r>
        <w:rPr>
          <w:rFonts w:ascii="Calibri" w:hAnsi="Calibri"/>
          <w:kern w:val="2"/>
          <w:szCs w:val="21"/>
        </w:rPr>
        <w:drawing>
          <wp:inline distT="0" distB="0" distL="114300" distR="114300">
            <wp:extent cx="5640070" cy="3754755"/>
            <wp:effectExtent l="0" t="0" r="8255"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640070" cy="3754755"/>
                    </a:xfrm>
                    <a:prstGeom prst="rect">
                      <a:avLst/>
                    </a:prstGeom>
                    <a:noFill/>
                    <a:ln>
                      <a:noFill/>
                    </a:ln>
                  </pic:spPr>
                </pic:pic>
              </a:graphicData>
            </a:graphic>
          </wp:inline>
        </w:drawing>
      </w:r>
    </w:p>
    <w:p>
      <w:pPr>
        <w:pStyle w:val="83"/>
        <w:spacing w:before="156" w:after="156"/>
      </w:pPr>
      <w:r>
        <w:t>典型车载液氢系统示意图</w:t>
      </w:r>
    </w:p>
    <w:p>
      <w:pPr>
        <w:pStyle w:val="56"/>
        <w:ind w:firstLine="420"/>
      </w:pPr>
    </w:p>
    <w:p>
      <w:pPr>
        <w:pStyle w:val="211"/>
        <w:numPr>
          <w:ilvl w:val="0"/>
          <w:numId w:val="0"/>
        </w:numPr>
      </w:pPr>
    </w:p>
    <w:p>
      <w:pPr>
        <w:pStyle w:val="211"/>
        <w:numPr>
          <w:ilvl w:val="0"/>
          <w:numId w:val="0"/>
        </w:numPr>
      </w:pPr>
    </w:p>
    <w:p>
      <w:pPr>
        <w:pStyle w:val="211"/>
        <w:numPr>
          <w:ilvl w:val="0"/>
          <w:numId w:val="0"/>
        </w:numPr>
      </w:pPr>
    </w:p>
    <w:p>
      <w:pPr>
        <w:pStyle w:val="211"/>
        <w:numPr>
          <w:ilvl w:val="0"/>
          <w:numId w:val="0"/>
        </w:numPr>
      </w:pPr>
    </w:p>
    <w:p>
      <w:pPr>
        <w:pStyle w:val="211"/>
        <w:numPr>
          <w:ilvl w:val="0"/>
          <w:numId w:val="0"/>
        </w:numPr>
      </w:pPr>
    </w:p>
    <w:p>
      <w:pPr>
        <w:pStyle w:val="211"/>
        <w:numPr>
          <w:ilvl w:val="0"/>
          <w:numId w:val="0"/>
        </w:numPr>
      </w:pPr>
    </w:p>
    <w:p>
      <w:pPr>
        <w:pStyle w:val="211"/>
        <w:numPr>
          <w:ilvl w:val="0"/>
          <w:numId w:val="0"/>
        </w:numPr>
      </w:pPr>
    </w:p>
    <w:p>
      <w:pPr>
        <w:pStyle w:val="211"/>
        <w:numPr>
          <w:ilvl w:val="0"/>
          <w:numId w:val="0"/>
        </w:numPr>
      </w:pPr>
    </w:p>
    <w:p>
      <w:pPr>
        <w:pStyle w:val="211"/>
        <w:numPr>
          <w:ilvl w:val="0"/>
          <w:numId w:val="0"/>
        </w:numPr>
      </w:pPr>
    </w:p>
    <w:p>
      <w:pPr>
        <w:pStyle w:val="211"/>
        <w:numPr>
          <w:ilvl w:val="0"/>
          <w:numId w:val="0"/>
        </w:numPr>
      </w:pPr>
    </w:p>
    <w:bookmarkEnd w:id="71"/>
    <w:p>
      <w:pPr>
        <w:pStyle w:val="56"/>
        <w:ind w:firstLine="0" w:firstLineChars="0"/>
        <w:jc w:val="center"/>
      </w:pPr>
      <w:bookmarkStart w:id="74"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Symbol">
    <w:altName w:val="MT Extra"/>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思源黑体 CN">
    <w:panose1 w:val="020B0600000000000000"/>
    <w:charset w:val="86"/>
    <w:family w:val="auto"/>
    <w:pitch w:val="default"/>
    <w:sig w:usb0="20000003" w:usb1="2ADF3C10" w:usb2="00000016" w:usb3="00000000" w:csb0="60060107"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rPr>
        <w:lang w:val="fr-FR"/>
      </w:rPr>
      <w:t>DB XX/T 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3543"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C0MWLlQv/oyh/2pISZKlyPNHbBUQKClDAklhqxfBPjBDbj3YdCKt4stfUhrGqR/MPnBrq+YejAKeUDw629SK7g==" w:salt="dh31O8wM+4VHZqReUC8+I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8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050"/>
    <w:rsid w:val="000303C3"/>
    <w:rsid w:val="000331D3"/>
    <w:rsid w:val="000346A5"/>
    <w:rsid w:val="000359C3"/>
    <w:rsid w:val="00035A7D"/>
    <w:rsid w:val="000365ED"/>
    <w:rsid w:val="0004249A"/>
    <w:rsid w:val="00043282"/>
    <w:rsid w:val="00044286"/>
    <w:rsid w:val="000454E6"/>
    <w:rsid w:val="00047F28"/>
    <w:rsid w:val="000503AA"/>
    <w:rsid w:val="000506A1"/>
    <w:rsid w:val="00050C8D"/>
    <w:rsid w:val="000515DD"/>
    <w:rsid w:val="0005265A"/>
    <w:rsid w:val="000539DD"/>
    <w:rsid w:val="00053BD3"/>
    <w:rsid w:val="000556ED"/>
    <w:rsid w:val="00055FE2"/>
    <w:rsid w:val="0005616F"/>
    <w:rsid w:val="000578E4"/>
    <w:rsid w:val="00060C2E"/>
    <w:rsid w:val="00061033"/>
    <w:rsid w:val="000619E9"/>
    <w:rsid w:val="000622D4"/>
    <w:rsid w:val="0006357D"/>
    <w:rsid w:val="00067F1E"/>
    <w:rsid w:val="00071CC0"/>
    <w:rsid w:val="00073C8C"/>
    <w:rsid w:val="00074926"/>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B1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01DA"/>
    <w:rsid w:val="00100AC6"/>
    <w:rsid w:val="00104926"/>
    <w:rsid w:val="00113B1E"/>
    <w:rsid w:val="0011711C"/>
    <w:rsid w:val="0012059C"/>
    <w:rsid w:val="00124E4F"/>
    <w:rsid w:val="001260B7"/>
    <w:rsid w:val="001265CB"/>
    <w:rsid w:val="001321C6"/>
    <w:rsid w:val="001325C4"/>
    <w:rsid w:val="00132FF9"/>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08A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1D4D"/>
    <w:rsid w:val="001D212F"/>
    <w:rsid w:val="001D29D7"/>
    <w:rsid w:val="001D2DE7"/>
    <w:rsid w:val="001D411C"/>
    <w:rsid w:val="001E1B6A"/>
    <w:rsid w:val="001E2484"/>
    <w:rsid w:val="001E3CC4"/>
    <w:rsid w:val="001E4882"/>
    <w:rsid w:val="001E73AB"/>
    <w:rsid w:val="001F092D"/>
    <w:rsid w:val="001F1191"/>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852"/>
    <w:rsid w:val="00223963"/>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F8A"/>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3C0"/>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4E51"/>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F15"/>
    <w:rsid w:val="00405884"/>
    <w:rsid w:val="00407D39"/>
    <w:rsid w:val="0041477A"/>
    <w:rsid w:val="004167A3"/>
    <w:rsid w:val="00432DAA"/>
    <w:rsid w:val="00434305"/>
    <w:rsid w:val="00435DF7"/>
    <w:rsid w:val="0044083F"/>
    <w:rsid w:val="00441AE7"/>
    <w:rsid w:val="00441F31"/>
    <w:rsid w:val="00445574"/>
    <w:rsid w:val="004467FB"/>
    <w:rsid w:val="00452D6B"/>
    <w:rsid w:val="00454484"/>
    <w:rsid w:val="0045517B"/>
    <w:rsid w:val="00463B77"/>
    <w:rsid w:val="00463C7B"/>
    <w:rsid w:val="004644A6"/>
    <w:rsid w:val="004659BD"/>
    <w:rsid w:val="00470775"/>
    <w:rsid w:val="004746B1"/>
    <w:rsid w:val="0047583F"/>
    <w:rsid w:val="00475DE8"/>
    <w:rsid w:val="0047632B"/>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73C7"/>
    <w:rsid w:val="004B0272"/>
    <w:rsid w:val="004B2701"/>
    <w:rsid w:val="004B2E1B"/>
    <w:rsid w:val="004B3AA8"/>
    <w:rsid w:val="004B3E93"/>
    <w:rsid w:val="004B6DA9"/>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B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C4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7221"/>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2A91"/>
    <w:rsid w:val="005A4A1B"/>
    <w:rsid w:val="005A5C3D"/>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7022"/>
    <w:rsid w:val="006015CE"/>
    <w:rsid w:val="00604784"/>
    <w:rsid w:val="00606419"/>
    <w:rsid w:val="00607D29"/>
    <w:rsid w:val="00612952"/>
    <w:rsid w:val="00614CC1"/>
    <w:rsid w:val="00615A9D"/>
    <w:rsid w:val="00617387"/>
    <w:rsid w:val="006205D6"/>
    <w:rsid w:val="006252D8"/>
    <w:rsid w:val="006259BC"/>
    <w:rsid w:val="0062636B"/>
    <w:rsid w:val="00631165"/>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04A"/>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5B82"/>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1FF1"/>
    <w:rsid w:val="00783ECF"/>
    <w:rsid w:val="0078413A"/>
    <w:rsid w:val="0079078D"/>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4786"/>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7A3"/>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37CE5"/>
    <w:rsid w:val="00840617"/>
    <w:rsid w:val="00840F84"/>
    <w:rsid w:val="00842A47"/>
    <w:rsid w:val="00842E6B"/>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5A5B"/>
    <w:rsid w:val="00896A28"/>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D07"/>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B40"/>
    <w:rsid w:val="00914CA7"/>
    <w:rsid w:val="00915C3E"/>
    <w:rsid w:val="009161A8"/>
    <w:rsid w:val="009221AF"/>
    <w:rsid w:val="009245F5"/>
    <w:rsid w:val="009249EC"/>
    <w:rsid w:val="009273B3"/>
    <w:rsid w:val="009305B5"/>
    <w:rsid w:val="00933298"/>
    <w:rsid w:val="009429D5"/>
    <w:rsid w:val="00942BF1"/>
    <w:rsid w:val="00945180"/>
    <w:rsid w:val="00945428"/>
    <w:rsid w:val="009459B6"/>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9D6"/>
    <w:rsid w:val="00A06A6B"/>
    <w:rsid w:val="00A07E47"/>
    <w:rsid w:val="00A129D0"/>
    <w:rsid w:val="00A12C33"/>
    <w:rsid w:val="00A138BA"/>
    <w:rsid w:val="00A14C8E"/>
    <w:rsid w:val="00A153D9"/>
    <w:rsid w:val="00A15F09"/>
    <w:rsid w:val="00A169B6"/>
    <w:rsid w:val="00A2271D"/>
    <w:rsid w:val="00A232BE"/>
    <w:rsid w:val="00A237D5"/>
    <w:rsid w:val="00A30EFC"/>
    <w:rsid w:val="00A3146E"/>
    <w:rsid w:val="00A31984"/>
    <w:rsid w:val="00A32D73"/>
    <w:rsid w:val="00A3367B"/>
    <w:rsid w:val="00A3597D"/>
    <w:rsid w:val="00A36DD1"/>
    <w:rsid w:val="00A4006C"/>
    <w:rsid w:val="00A40091"/>
    <w:rsid w:val="00A4030F"/>
    <w:rsid w:val="00A41C79"/>
    <w:rsid w:val="00A41CB5"/>
    <w:rsid w:val="00A42CDF"/>
    <w:rsid w:val="00A42FFD"/>
    <w:rsid w:val="00A4452E"/>
    <w:rsid w:val="00A4472C"/>
    <w:rsid w:val="00A44E69"/>
    <w:rsid w:val="00A4661E"/>
    <w:rsid w:val="00A5370D"/>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E00"/>
    <w:rsid w:val="00B261F1"/>
    <w:rsid w:val="00B265BC"/>
    <w:rsid w:val="00B31FB1"/>
    <w:rsid w:val="00B325F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67170"/>
    <w:rsid w:val="00B72880"/>
    <w:rsid w:val="00B744F9"/>
    <w:rsid w:val="00B758BF"/>
    <w:rsid w:val="00B77EC8"/>
    <w:rsid w:val="00B827A6"/>
    <w:rsid w:val="00B831CE"/>
    <w:rsid w:val="00B86677"/>
    <w:rsid w:val="00B87131"/>
    <w:rsid w:val="00B939B1"/>
    <w:rsid w:val="00B96D40"/>
    <w:rsid w:val="00B97386"/>
    <w:rsid w:val="00BA263B"/>
    <w:rsid w:val="00BA42B2"/>
    <w:rsid w:val="00BA5207"/>
    <w:rsid w:val="00BA58D4"/>
    <w:rsid w:val="00BA5B9E"/>
    <w:rsid w:val="00BA62D2"/>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6EB"/>
    <w:rsid w:val="00BF0993"/>
    <w:rsid w:val="00BF10A9"/>
    <w:rsid w:val="00BF1703"/>
    <w:rsid w:val="00BF231C"/>
    <w:rsid w:val="00BF51E5"/>
    <w:rsid w:val="00BF6423"/>
    <w:rsid w:val="00BF74A6"/>
    <w:rsid w:val="00C013AD"/>
    <w:rsid w:val="00C04904"/>
    <w:rsid w:val="00C056B3"/>
    <w:rsid w:val="00C103E5"/>
    <w:rsid w:val="00C13319"/>
    <w:rsid w:val="00C13EE9"/>
    <w:rsid w:val="00C20D05"/>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58D"/>
    <w:rsid w:val="00C55232"/>
    <w:rsid w:val="00C553A4"/>
    <w:rsid w:val="00C55A06"/>
    <w:rsid w:val="00C55D03"/>
    <w:rsid w:val="00C601BC"/>
    <w:rsid w:val="00C6329F"/>
    <w:rsid w:val="00C63340"/>
    <w:rsid w:val="00C643F9"/>
    <w:rsid w:val="00C64E95"/>
    <w:rsid w:val="00C71372"/>
    <w:rsid w:val="00C72410"/>
    <w:rsid w:val="00C7287F"/>
    <w:rsid w:val="00C80CB8"/>
    <w:rsid w:val="00C818D1"/>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4C09"/>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C89"/>
    <w:rsid w:val="00D33333"/>
    <w:rsid w:val="00D33457"/>
    <w:rsid w:val="00D352A2"/>
    <w:rsid w:val="00D4162B"/>
    <w:rsid w:val="00D4514F"/>
    <w:rsid w:val="00D451E2"/>
    <w:rsid w:val="00D45E89"/>
    <w:rsid w:val="00D45E8D"/>
    <w:rsid w:val="00D466AE"/>
    <w:rsid w:val="00D4734F"/>
    <w:rsid w:val="00D51BF3"/>
    <w:rsid w:val="00D55EFF"/>
    <w:rsid w:val="00D66846"/>
    <w:rsid w:val="00D675FB"/>
    <w:rsid w:val="00D71F25"/>
    <w:rsid w:val="00D72A9C"/>
    <w:rsid w:val="00D77031"/>
    <w:rsid w:val="00D84941"/>
    <w:rsid w:val="00D84FA1"/>
    <w:rsid w:val="00D851F0"/>
    <w:rsid w:val="00D86DB7"/>
    <w:rsid w:val="00D87F86"/>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07A"/>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2B6"/>
    <w:rsid w:val="00DE6E81"/>
    <w:rsid w:val="00DE703F"/>
    <w:rsid w:val="00DE7595"/>
    <w:rsid w:val="00DE7FCA"/>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27FB"/>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78B3"/>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0FAD"/>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CE1"/>
    <w:rsid w:val="00FB231D"/>
    <w:rsid w:val="00FB45F1"/>
    <w:rsid w:val="00FB4A72"/>
    <w:rsid w:val="00FB54E8"/>
    <w:rsid w:val="00FB7054"/>
    <w:rsid w:val="00FC17B7"/>
    <w:rsid w:val="00FC2CB7"/>
    <w:rsid w:val="00FC4090"/>
    <w:rsid w:val="00FC55B4"/>
    <w:rsid w:val="00FD00E6"/>
    <w:rsid w:val="00FD09A1"/>
    <w:rsid w:val="00FD28C6"/>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FFFD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semiHidden/>
    <w:unhideWhenUsed/>
    <w:uiPriority w:val="1"/>
  </w:style>
  <w:style w:type="table" w:default="1" w:styleId="32">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uiPriority w:val="0"/>
    <w:rPr>
      <w:rFonts w:ascii="宋体" w:hAnsi="Times New Roman" w:eastAsia="宋体"/>
      <w:sz w:val="18"/>
    </w:rPr>
  </w:style>
  <w:style w:type="character" w:styleId="29">
    <w:name w:val="Emphasis"/>
    <w:qFormat/>
    <w:uiPriority w:val="20"/>
    <w:rPr>
      <w:i/>
      <w:iCs/>
    </w:rPr>
  </w:style>
  <w:style w:type="character" w:styleId="30">
    <w:name w:val="Hyperlink"/>
    <w:uiPriority w:val="99"/>
    <w:rPr>
      <w:rFonts w:ascii="宋体" w:hAnsi="Times New Roman" w:eastAsia="宋体"/>
      <w:color w:val="auto"/>
      <w:spacing w:val="0"/>
      <w:w w:val="100"/>
      <w:position w:val="0"/>
      <w:sz w:val="21"/>
      <w:u w:val="none"/>
      <w:vertAlign w:val="baseline"/>
    </w:rPr>
  </w:style>
  <w:style w:type="character" w:styleId="31">
    <w:name w:val="footnote reference"/>
    <w:semiHidden/>
    <w:uiPriority w:val="0"/>
    <w:rPr>
      <w:rFonts w:ascii="宋体" w:hAnsi="宋体" w:eastAsia="宋体" w:cs="Times New Roman"/>
      <w:spacing w:val="0"/>
      <w:sz w:val="18"/>
      <w:vertAlign w:val="superscript"/>
    </w:rPr>
  </w:style>
  <w:style w:type="table" w:styleId="33">
    <w:name w:val="Table Grid"/>
    <w:basedOn w:val="3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
    <w:name w:val="标题 1 Char"/>
    <w:link w:val="2"/>
    <w:uiPriority w:val="0"/>
    <w:rPr>
      <w:b/>
      <w:bCs/>
      <w:kern w:val="44"/>
      <w:sz w:val="44"/>
      <w:szCs w:val="44"/>
    </w:rPr>
  </w:style>
  <w:style w:type="character" w:customStyle="1" w:styleId="35">
    <w:name w:val="标题 2 Char"/>
    <w:link w:val="3"/>
    <w:uiPriority w:val="0"/>
    <w:rPr>
      <w:rFonts w:ascii="Arial" w:hAnsi="Arial" w:eastAsia="黑体"/>
      <w:b/>
      <w:bCs/>
      <w:kern w:val="2"/>
      <w:sz w:val="32"/>
      <w:szCs w:val="32"/>
    </w:rPr>
  </w:style>
  <w:style w:type="character" w:customStyle="1" w:styleId="36">
    <w:name w:val="标题 3 Char"/>
    <w:link w:val="4"/>
    <w:uiPriority w:val="0"/>
    <w:rPr>
      <w:b/>
      <w:bCs/>
      <w:kern w:val="2"/>
      <w:sz w:val="32"/>
      <w:szCs w:val="32"/>
    </w:rPr>
  </w:style>
  <w:style w:type="character" w:customStyle="1" w:styleId="37">
    <w:name w:val="标题 4 Char"/>
    <w:link w:val="5"/>
    <w:uiPriority w:val="0"/>
    <w:rPr>
      <w:rFonts w:ascii="Arial" w:hAnsi="Arial" w:eastAsia="黑体"/>
      <w:b/>
      <w:bCs/>
      <w:kern w:val="2"/>
      <w:sz w:val="28"/>
      <w:szCs w:val="28"/>
    </w:rPr>
  </w:style>
  <w:style w:type="character" w:customStyle="1" w:styleId="38">
    <w:name w:val="标题 5 Char"/>
    <w:link w:val="6"/>
    <w:uiPriority w:val="0"/>
    <w:rPr>
      <w:b/>
      <w:bCs/>
      <w:kern w:val="2"/>
      <w:sz w:val="28"/>
      <w:szCs w:val="28"/>
    </w:rPr>
  </w:style>
  <w:style w:type="character" w:customStyle="1" w:styleId="39">
    <w:name w:val="标题 6 Char"/>
    <w:link w:val="7"/>
    <w:uiPriority w:val="0"/>
    <w:rPr>
      <w:rFonts w:ascii="Arial" w:hAnsi="Arial" w:eastAsia="黑体"/>
      <w:b/>
      <w:bCs/>
      <w:kern w:val="2"/>
      <w:sz w:val="24"/>
      <w:szCs w:val="24"/>
    </w:rPr>
  </w:style>
  <w:style w:type="character" w:customStyle="1" w:styleId="40">
    <w:name w:val="标题 7 Char"/>
    <w:link w:val="8"/>
    <w:uiPriority w:val="0"/>
    <w:rPr>
      <w:b/>
      <w:bCs/>
      <w:kern w:val="2"/>
      <w:sz w:val="24"/>
      <w:szCs w:val="24"/>
    </w:rPr>
  </w:style>
  <w:style w:type="character" w:customStyle="1" w:styleId="41">
    <w:name w:val="标题 8 Char"/>
    <w:link w:val="9"/>
    <w:uiPriority w:val="0"/>
    <w:rPr>
      <w:rFonts w:ascii="Arial" w:hAnsi="Arial" w:eastAsia="黑体"/>
      <w:kern w:val="2"/>
      <w:sz w:val="24"/>
      <w:szCs w:val="24"/>
    </w:rPr>
  </w:style>
  <w:style w:type="character" w:customStyle="1" w:styleId="42">
    <w:name w:val="标题 9 Char"/>
    <w:link w:val="10"/>
    <w:uiPriority w:val="0"/>
    <w:rPr>
      <w:rFonts w:ascii="Arial" w:hAnsi="Arial" w:eastAsia="黑体"/>
      <w:kern w:val="2"/>
      <w:sz w:val="21"/>
      <w:szCs w:val="21"/>
    </w:rPr>
  </w:style>
  <w:style w:type="character" w:customStyle="1" w:styleId="43">
    <w:name w:val="页眉 Char"/>
    <w:link w:val="18"/>
    <w:uiPriority w:val="99"/>
    <w:rPr>
      <w:kern w:val="2"/>
      <w:sz w:val="18"/>
      <w:szCs w:val="18"/>
    </w:rPr>
  </w:style>
  <w:style w:type="character" w:customStyle="1" w:styleId="44">
    <w:name w:val="页脚 Char"/>
    <w:link w:val="17"/>
    <w:uiPriority w:val="99"/>
    <w:rPr>
      <w:rFonts w:ascii="宋体"/>
      <w:kern w:val="2"/>
      <w:sz w:val="18"/>
      <w:szCs w:val="18"/>
    </w:rPr>
  </w:style>
  <w:style w:type="character" w:customStyle="1" w:styleId="45">
    <w:name w:val="批注框文本 Char"/>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kern w:val="2"/>
      <w:sz w:val="21"/>
      <w:szCs w:val="21"/>
    </w:rPr>
  </w:style>
  <w:style w:type="character" w:customStyle="1" w:styleId="48">
    <w:name w:val="标题 Char"/>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Lines="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6"/>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vAnchor="page" w:hAnchor="page" w:x="1419" w:y="14097"/>
    </w:pPr>
  </w:style>
  <w:style w:type="paragraph" w:customStyle="1" w:styleId="194">
    <w:name w:val="其他实施日期"/>
    <w:basedOn w:val="154"/>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image" Target="media/image1.tif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6EC0CDCB8A4FE898D119B9E8E9B0EE"/>
        <w:style w:val=""/>
        <w:category>
          <w:name w:val="常规"/>
          <w:gallery w:val="placeholder"/>
        </w:category>
        <w:types>
          <w:type w:val="bbPlcHdr"/>
        </w:types>
        <w:behaviors>
          <w:behavior w:val="content"/>
        </w:behaviors>
        <w:description w:val=""/>
        <w:guid w:val="{AEEE9C81-1E2B-4B14-8C6C-76227781AE47}"/>
      </w:docPartPr>
      <w:docPartBody>
        <w:p>
          <w:pPr>
            <w:pStyle w:val="5"/>
          </w:pPr>
          <w:r>
            <w:rPr>
              <w:rStyle w:val="4"/>
              <w:rFonts w:hint="eastAsia"/>
            </w:rPr>
            <w:t>单击或点击此处输入文字。</w:t>
          </w:r>
        </w:p>
      </w:docPartBody>
    </w:docPart>
    <w:docPart>
      <w:docPartPr>
        <w:name w:val="ADC311355D0A499693FF05B9845C1170"/>
        <w:style w:val=""/>
        <w:category>
          <w:name w:val="常规"/>
          <w:gallery w:val="placeholder"/>
        </w:category>
        <w:types>
          <w:type w:val="bbPlcHdr"/>
        </w:types>
        <w:behaviors>
          <w:behavior w:val="content"/>
        </w:behaviors>
        <w:description w:val=""/>
        <w:guid w:val="{88DBF1DF-7EC2-4F2C-9A85-A15D5897780C}"/>
      </w:docPartPr>
      <w:docPartBody>
        <w:p>
          <w:pPr>
            <w:pStyle w:val="6"/>
          </w:pPr>
          <w:r>
            <w:rPr>
              <w:rStyle w:val="4"/>
              <w:rFonts w:hint="eastAsia"/>
            </w:rPr>
            <w:t>选择一项。</w:t>
          </w:r>
        </w:p>
      </w:docPartBody>
    </w:docPart>
    <w:docPart>
      <w:docPartPr>
        <w:name w:val="AEDE80909DC84A4C991E70C8863029DE"/>
        <w:style w:val=""/>
        <w:category>
          <w:name w:val="常规"/>
          <w:gallery w:val="placeholder"/>
        </w:category>
        <w:types>
          <w:type w:val="bbPlcHdr"/>
        </w:types>
        <w:behaviors>
          <w:behavior w:val="content"/>
        </w:behaviors>
        <w:description w:val=""/>
        <w:guid w:val="{CADC48C3-F774-4254-BB2D-BEF50ED7E2D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9E6C1A"/>
    <w:rsid w:val="000D74AC"/>
    <w:rsid w:val="0034770E"/>
    <w:rsid w:val="00442F69"/>
    <w:rsid w:val="004924D4"/>
    <w:rsid w:val="0065587F"/>
    <w:rsid w:val="0073361A"/>
    <w:rsid w:val="007F0F0C"/>
    <w:rsid w:val="008948EF"/>
    <w:rsid w:val="00920265"/>
    <w:rsid w:val="009E6C1A"/>
    <w:rsid w:val="00A63BDE"/>
    <w:rsid w:val="00AD68A5"/>
    <w:rsid w:val="00BC57B2"/>
    <w:rsid w:val="00C80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E6EC0CDCB8A4FE898D119B9E8E9B0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DC311355D0A499693FF05B9845C11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EDE80909DC84A4C991E70C8863029D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757</Words>
  <Characters>4321</Characters>
  <Lines>36</Lines>
  <Paragraphs>10</Paragraphs>
  <TotalTime>32</TotalTime>
  <ScaleCrop>false</ScaleCrop>
  <LinksUpToDate>false</LinksUpToDate>
  <CharactersWithSpaces>5068</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2024-03-01T14:22:00Z</dcterms:created>
  <dc:creator>Windows User</dc:creator>
  <dc:description>&lt;config cover="true" show_menu="true" version="1.0.0" doctype="SDKXY"&gt;_x000d_
&lt;/config&gt;</dc:description>
  <cp:lastModifiedBy>刘霞（汽车与交通产业处）</cp:lastModifiedBy>
  <cp:lastPrinted>2020-08-30T18:00:00Z</cp:lastPrinted>
  <dcterms:modified xsi:type="dcterms:W3CDTF">2024-04-22T18:14:05Z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2052-10.1.0.7448</vt:lpwstr>
  </property>
</Properties>
</file>