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13B95">
      <w:pPr>
        <w:pageBreakBefore w:val="0"/>
        <w:tabs>
          <w:tab w:val="left" w:pos="3205"/>
          <w:tab w:val="center" w:pos="4213"/>
        </w:tabs>
        <w:kinsoku/>
        <w:wordWrap/>
        <w:overflowPunct/>
        <w:topLinePunct/>
        <w:autoSpaceDE/>
        <w:autoSpaceDN/>
        <w:bidi w:val="0"/>
        <w:adjustRightInd w:val="0"/>
        <w:snapToGrid w:val="0"/>
        <w:spacing w:line="560" w:lineRule="atLeast"/>
        <w:jc w:val="both"/>
        <w:textAlignment w:val="auto"/>
        <w:outlineLvl w:val="0"/>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eastAsia="zh-CN"/>
        </w:rPr>
        <w:t>附件</w:t>
      </w:r>
      <w:r>
        <w:rPr>
          <w:rFonts w:hint="eastAsia" w:ascii="黑体" w:hAnsi="黑体" w:eastAsia="黑体" w:cs="黑体"/>
          <w:color w:val="auto"/>
          <w:sz w:val="32"/>
          <w:szCs w:val="32"/>
          <w:lang w:val="en-US" w:eastAsia="zh-CN"/>
        </w:rPr>
        <w:t>1</w:t>
      </w:r>
    </w:p>
    <w:p w14:paraId="7A36141D">
      <w:pPr>
        <w:pageBreakBefore w:val="0"/>
        <w:kinsoku/>
        <w:wordWrap/>
        <w:overflowPunct/>
        <w:autoSpaceDE/>
        <w:autoSpaceDN/>
        <w:bidi w:val="0"/>
        <w:spacing w:line="560" w:lineRule="exact"/>
        <w:jc w:val="center"/>
        <w:textAlignment w:val="auto"/>
        <w:outlineLvl w:val="0"/>
        <w:rPr>
          <w:rFonts w:hint="eastAsia" w:ascii="方正小标宋简体" w:hAnsi="方正小标宋简体" w:eastAsia="方正小标宋简体" w:cs="方正小标宋简体"/>
          <w:color w:val="auto"/>
          <w:spacing w:val="-11"/>
          <w:sz w:val="44"/>
          <w:szCs w:val="44"/>
        </w:rPr>
      </w:pPr>
    </w:p>
    <w:p w14:paraId="11A46292">
      <w:pPr>
        <w:pageBreakBefore w:val="0"/>
        <w:kinsoku/>
        <w:wordWrap/>
        <w:overflowPunct/>
        <w:autoSpaceDE/>
        <w:autoSpaceDN/>
        <w:bidi w:val="0"/>
        <w:spacing w:line="560" w:lineRule="exact"/>
        <w:jc w:val="center"/>
        <w:textAlignment w:val="auto"/>
        <w:outlineLvl w:val="0"/>
        <w:rPr>
          <w:rFonts w:ascii="方正小标宋简体" w:hAnsi="方正小标宋简体" w:eastAsia="方正小标宋简体" w:cs="方正小标宋简体"/>
          <w:color w:val="auto"/>
          <w:spacing w:val="-11"/>
          <w:sz w:val="44"/>
          <w:szCs w:val="44"/>
        </w:rPr>
      </w:pPr>
      <w:r>
        <w:rPr>
          <w:rFonts w:hint="eastAsia" w:ascii="方正小标宋简体" w:hAnsi="方正小标宋简体" w:eastAsia="方正小标宋简体" w:cs="方正小标宋简体"/>
          <w:color w:val="auto"/>
          <w:spacing w:val="-11"/>
          <w:sz w:val="44"/>
          <w:szCs w:val="44"/>
        </w:rPr>
        <w:t>北京市知识产权保护能力建设</w:t>
      </w:r>
      <w:r>
        <w:rPr>
          <w:rFonts w:hint="eastAsia" w:ascii="方正小标宋简体" w:hAnsi="方正小标宋简体" w:eastAsia="方正小标宋简体" w:cs="方正小标宋简体"/>
          <w:color w:val="auto"/>
          <w:spacing w:val="-11"/>
          <w:sz w:val="44"/>
          <w:szCs w:val="44"/>
          <w:lang w:val="en-US" w:eastAsia="zh-CN"/>
        </w:rPr>
        <w:t>扶持</w:t>
      </w:r>
      <w:r>
        <w:rPr>
          <w:rFonts w:hint="eastAsia" w:ascii="方正小标宋简体" w:hAnsi="方正小标宋简体" w:eastAsia="方正小标宋简体" w:cs="方正小标宋简体"/>
          <w:color w:val="auto"/>
          <w:spacing w:val="-11"/>
          <w:sz w:val="44"/>
          <w:szCs w:val="44"/>
        </w:rPr>
        <w:t>资金实施办法</w:t>
      </w:r>
    </w:p>
    <w:p w14:paraId="144EDDEB">
      <w:pPr>
        <w:pageBreakBefore w:val="0"/>
        <w:kinsoku/>
        <w:wordWrap/>
        <w:overflowPunct/>
        <w:topLinePunct/>
        <w:autoSpaceDE/>
        <w:autoSpaceDN/>
        <w:bidi w:val="0"/>
        <w:adjustRightInd w:val="0"/>
        <w:snapToGrid w:val="0"/>
        <w:spacing w:line="560" w:lineRule="atLeast"/>
        <w:jc w:val="center"/>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（公开征求意见稿）</w:t>
      </w:r>
    </w:p>
    <w:p w14:paraId="64D5B7AA">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ascii="仿宋_GB2312" w:hAnsi="仿宋_GB2312" w:eastAsia="仿宋_GB2312" w:cs="仿宋_GB2312"/>
          <w:color w:val="auto"/>
          <w:sz w:val="32"/>
          <w:szCs w:val="32"/>
        </w:rPr>
      </w:pPr>
    </w:p>
    <w:p w14:paraId="7FA85A1B">
      <w:pPr>
        <w:keepNext w:val="0"/>
        <w:keepLines w:val="0"/>
        <w:pageBreakBefore w:val="0"/>
        <w:tabs>
          <w:tab w:val="left" w:pos="3205"/>
          <w:tab w:val="center" w:pos="4213"/>
        </w:tabs>
        <w:kinsoku/>
        <w:wordWrap/>
        <w:overflowPunct/>
        <w:topLinePunct/>
        <w:autoSpaceDE/>
        <w:autoSpaceDN/>
        <w:bidi w:val="0"/>
        <w:adjustRightInd w:val="0"/>
        <w:snapToGrid w:val="0"/>
        <w:spacing w:line="560" w:lineRule="exact"/>
        <w:jc w:val="center"/>
        <w:textAlignment w:val="auto"/>
        <w:outlineLvl w:val="0"/>
        <w:rPr>
          <w:rFonts w:ascii="黑体" w:hAnsi="黑体" w:eastAsia="黑体" w:cs="黑体"/>
          <w:color w:val="auto"/>
          <w:sz w:val="32"/>
          <w:szCs w:val="32"/>
        </w:rPr>
      </w:pPr>
      <w:r>
        <w:rPr>
          <w:rFonts w:hint="eastAsia" w:ascii="黑体" w:hAnsi="黑体" w:eastAsia="黑体" w:cs="黑体"/>
          <w:color w:val="auto"/>
          <w:sz w:val="32"/>
          <w:szCs w:val="32"/>
        </w:rPr>
        <w:t>第一章 总则</w:t>
      </w:r>
    </w:p>
    <w:p w14:paraId="3182ED06">
      <w:pPr>
        <w:keepNext w:val="0"/>
        <w:keepLines w:val="0"/>
        <w:pageBreakBefore w:val="0"/>
        <w:kinsoku/>
        <w:wordWrap/>
        <w:overflowPunct/>
        <w:topLine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第一条 为</w:t>
      </w:r>
      <w:r>
        <w:rPr>
          <w:rFonts w:hint="eastAsia" w:ascii="仿宋_GB2312" w:hAnsi="仿宋_GB2312" w:eastAsia="仿宋_GB2312" w:cs="仿宋_GB2312"/>
          <w:color w:val="auto"/>
          <w:sz w:val="32"/>
          <w:szCs w:val="32"/>
          <w:lang w:val="en-US" w:eastAsia="zh-CN"/>
        </w:rPr>
        <w:t>深入</w:t>
      </w:r>
      <w:r>
        <w:rPr>
          <w:rFonts w:hint="eastAsia" w:ascii="仿宋_GB2312" w:hAnsi="仿宋_GB2312" w:eastAsia="仿宋_GB2312" w:cs="仿宋_GB2312"/>
          <w:color w:val="auto"/>
          <w:sz w:val="32"/>
          <w:szCs w:val="32"/>
        </w:rPr>
        <w:t>贯彻落实</w:t>
      </w:r>
      <w:r>
        <w:rPr>
          <w:rFonts w:hint="eastAsia" w:ascii="仿宋_GB2312" w:hAnsi="仿宋_GB2312" w:eastAsia="仿宋_GB2312" w:cs="仿宋_GB2312"/>
          <w:color w:val="auto"/>
          <w:sz w:val="32"/>
          <w:szCs w:val="32"/>
          <w:lang w:eastAsia="zh-CN"/>
        </w:rPr>
        <w:t>《国务院关于涉外知识产权纠纷处理的规定》</w:t>
      </w:r>
      <w:r>
        <w:rPr>
          <w:rFonts w:hint="eastAsia" w:ascii="仿宋_GB2312" w:hAnsi="仿宋_GB2312" w:eastAsia="仿宋_GB2312" w:cs="仿宋_GB2312"/>
          <w:color w:val="auto"/>
          <w:sz w:val="32"/>
          <w:szCs w:val="32"/>
        </w:rPr>
        <w:t>《北京市知识产权保护条例》，</w:t>
      </w:r>
      <w:r>
        <w:rPr>
          <w:rFonts w:hint="eastAsia" w:ascii="仿宋_GB2312" w:hAnsi="仿宋_GB2312" w:eastAsia="仿宋_GB2312" w:cs="仿宋_GB2312"/>
          <w:color w:val="auto"/>
          <w:sz w:val="32"/>
          <w:szCs w:val="32"/>
          <w:lang w:val="en-US" w:eastAsia="zh-CN"/>
        </w:rPr>
        <w:t>进一步</w:t>
      </w:r>
      <w:r>
        <w:rPr>
          <w:rFonts w:hint="eastAsia" w:ascii="仿宋_GB2312" w:hAnsi="仿宋_GB2312" w:eastAsia="仿宋_GB2312" w:cs="仿宋_GB2312"/>
          <w:color w:val="auto"/>
          <w:sz w:val="32"/>
          <w:szCs w:val="32"/>
        </w:rPr>
        <w:t>健全知识产权保护体系，</w:t>
      </w:r>
      <w:r>
        <w:rPr>
          <w:rFonts w:hint="eastAsia" w:ascii="仿宋_GB2312" w:hAnsi="仿宋_GB2312" w:eastAsia="仿宋_GB2312" w:cs="仿宋_GB2312"/>
          <w:color w:val="auto"/>
          <w:sz w:val="32"/>
          <w:szCs w:val="32"/>
          <w:lang w:val="en-US" w:eastAsia="zh-CN"/>
        </w:rPr>
        <w:t>依</w:t>
      </w:r>
      <w:r>
        <w:rPr>
          <w:rFonts w:hint="eastAsia" w:ascii="仿宋_GB2312" w:hAnsi="仿宋_GB2312" w:eastAsia="仿宋_GB2312" w:cs="仿宋_GB2312"/>
          <w:color w:val="auto"/>
          <w:sz w:val="32"/>
          <w:szCs w:val="32"/>
        </w:rPr>
        <w:t>据《北京市知识产权扶持资金管理办法》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制定本</w:t>
      </w:r>
      <w:r>
        <w:rPr>
          <w:rFonts w:hint="eastAsia" w:ascii="仿宋_GB2312" w:hAnsi="仿宋_GB2312" w:eastAsia="仿宋_GB2312" w:cs="仿宋_GB2312"/>
          <w:color w:val="auto"/>
          <w:sz w:val="32"/>
          <w:szCs w:val="32"/>
          <w:lang w:val="en-US" w:eastAsia="zh-CN"/>
        </w:rPr>
        <w:t>实施</w:t>
      </w:r>
      <w:r>
        <w:rPr>
          <w:rFonts w:hint="eastAsia" w:ascii="仿宋_GB2312" w:hAnsi="仿宋_GB2312" w:eastAsia="仿宋_GB2312" w:cs="仿宋_GB2312"/>
          <w:color w:val="auto"/>
          <w:sz w:val="32"/>
          <w:szCs w:val="32"/>
        </w:rPr>
        <w:t>办法。</w:t>
      </w:r>
    </w:p>
    <w:p w14:paraId="4E43BDFF">
      <w:pPr>
        <w:keepNext w:val="0"/>
        <w:keepLines w:val="0"/>
        <w:pageBreakBefore w:val="0"/>
        <w:kinsoku/>
        <w:wordWrap/>
        <w:overflowPunct/>
        <w:topLine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val="en"/>
        </w:rPr>
      </w:pPr>
      <w:r>
        <w:rPr>
          <w:rFonts w:hint="eastAsia" w:ascii="仿宋_GB2312" w:hAnsi="仿宋_GB2312" w:eastAsia="仿宋_GB2312" w:cs="仿宋_GB2312"/>
          <w:color w:val="auto"/>
          <w:sz w:val="32"/>
          <w:szCs w:val="32"/>
        </w:rPr>
        <w:t xml:space="preserve">第二条 </w:t>
      </w:r>
      <w:r>
        <w:rPr>
          <w:rFonts w:hint="eastAsia" w:ascii="仿宋_GB2312" w:hAnsi="仿宋_GB2312" w:eastAsia="仿宋_GB2312" w:cs="仿宋_GB2312"/>
          <w:color w:val="auto"/>
          <w:sz w:val="32"/>
          <w:szCs w:val="32"/>
          <w:lang w:eastAsia="zh-CN"/>
        </w:rPr>
        <w:t>扶持对象</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lang w:val="en-US" w:eastAsia="zh-CN"/>
        </w:rPr>
        <w:t>在</w:t>
      </w:r>
      <w:r>
        <w:rPr>
          <w:rFonts w:hint="eastAsia" w:ascii="仿宋_GB2312" w:hAnsi="仿宋_GB2312" w:eastAsia="仿宋_GB2312" w:cs="仿宋_GB2312"/>
          <w:color w:val="auto"/>
          <w:sz w:val="32"/>
          <w:szCs w:val="32"/>
        </w:rPr>
        <w:t>本市</w:t>
      </w:r>
      <w:r>
        <w:rPr>
          <w:rFonts w:hint="eastAsia" w:ascii="仿宋_GB2312" w:hAnsi="仿宋_GB2312" w:eastAsia="仿宋_GB2312" w:cs="仿宋_GB2312"/>
          <w:color w:val="auto"/>
          <w:sz w:val="32"/>
          <w:szCs w:val="32"/>
          <w:lang w:val="en-US" w:eastAsia="zh-CN"/>
        </w:rPr>
        <w:t>从事生产经营活动的</w:t>
      </w:r>
      <w:r>
        <w:rPr>
          <w:rFonts w:hint="eastAsia" w:ascii="仿宋_GB2312" w:hAnsi="仿宋_GB2312" w:eastAsia="仿宋_GB2312" w:cs="仿宋_GB2312"/>
          <w:color w:val="auto"/>
          <w:sz w:val="32"/>
          <w:szCs w:val="32"/>
        </w:rPr>
        <w:t>企事业单位</w:t>
      </w:r>
      <w:r>
        <w:rPr>
          <w:rFonts w:hint="eastAsia" w:ascii="仿宋_GB2312" w:hAnsi="仿宋_GB2312" w:eastAsia="仿宋_GB2312" w:cs="仿宋_GB2312"/>
          <w:color w:val="auto"/>
          <w:sz w:val="32"/>
          <w:szCs w:val="32"/>
          <w:lang w:val="en-US" w:eastAsia="zh-CN"/>
        </w:rPr>
        <w:t>和开展业务活动的</w:t>
      </w:r>
      <w:r>
        <w:rPr>
          <w:rFonts w:hint="eastAsia" w:ascii="仿宋_GB2312" w:hAnsi="仿宋_GB2312" w:eastAsia="仿宋_GB2312" w:cs="仿宋_GB2312"/>
          <w:color w:val="auto"/>
          <w:sz w:val="32"/>
          <w:szCs w:val="32"/>
        </w:rPr>
        <w:t>社会组织。</w:t>
      </w:r>
    </w:p>
    <w:p w14:paraId="61EDEB96">
      <w:pPr>
        <w:keepNext w:val="0"/>
        <w:keepLines w:val="0"/>
        <w:pageBreakBefore w:val="0"/>
        <w:kinsoku/>
        <w:wordWrap/>
        <w:overflowPunct/>
        <w:topLine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
        </w:rPr>
        <w:t>第三条 本资金用于支持</w:t>
      </w:r>
      <w:r>
        <w:rPr>
          <w:rFonts w:hint="eastAsia" w:ascii="仿宋_GB2312" w:hAnsi="仿宋_GB2312" w:eastAsia="仿宋_GB2312" w:cs="仿宋_GB2312"/>
          <w:color w:val="auto"/>
          <w:sz w:val="32"/>
          <w:szCs w:val="32"/>
        </w:rPr>
        <w:t>海外知识产权</w:t>
      </w:r>
      <w:r>
        <w:rPr>
          <w:rFonts w:hint="eastAsia" w:ascii="仿宋_GB2312" w:hAnsi="仿宋_GB2312" w:eastAsia="仿宋_GB2312" w:cs="仿宋_GB2312"/>
          <w:color w:val="auto"/>
          <w:sz w:val="32"/>
          <w:szCs w:val="32"/>
          <w:lang w:eastAsia="zh-CN"/>
        </w:rPr>
        <w:t>风险</w:t>
      </w:r>
      <w:r>
        <w:rPr>
          <w:rFonts w:hint="eastAsia" w:ascii="仿宋_GB2312" w:hAnsi="仿宋_GB2312" w:eastAsia="仿宋_GB2312" w:cs="仿宋_GB2312"/>
          <w:color w:val="auto"/>
          <w:sz w:val="32"/>
          <w:szCs w:val="32"/>
        </w:rPr>
        <w:t>预警、海外知识产权</w:t>
      </w:r>
      <w:r>
        <w:rPr>
          <w:rFonts w:hint="eastAsia" w:ascii="仿宋_GB2312" w:hAnsi="仿宋_GB2312" w:eastAsia="仿宋_GB2312" w:cs="仿宋_GB2312"/>
          <w:color w:val="auto"/>
          <w:sz w:val="32"/>
          <w:szCs w:val="32"/>
          <w:lang w:eastAsia="zh-CN"/>
        </w:rPr>
        <w:t>纠纷应对</w:t>
      </w:r>
      <w:r>
        <w:rPr>
          <w:rFonts w:hint="eastAsia" w:ascii="仿宋_GB2312" w:hAnsi="仿宋_GB2312" w:eastAsia="仿宋_GB2312" w:cs="仿宋_GB2312"/>
          <w:color w:val="auto"/>
          <w:sz w:val="32"/>
          <w:szCs w:val="32"/>
        </w:rPr>
        <w:t>、知识产权纠纷调解三个</w:t>
      </w:r>
      <w:r>
        <w:rPr>
          <w:rFonts w:hint="eastAsia" w:ascii="仿宋_GB2312" w:hAnsi="仿宋_GB2312" w:eastAsia="仿宋_GB2312" w:cs="仿宋_GB2312"/>
          <w:color w:val="auto"/>
          <w:sz w:val="32"/>
          <w:szCs w:val="32"/>
          <w:lang w:eastAsia="zh-CN"/>
        </w:rPr>
        <w:t>方向</w:t>
      </w:r>
      <w:r>
        <w:rPr>
          <w:rFonts w:hint="eastAsia" w:ascii="仿宋_GB2312" w:hAnsi="仿宋_GB2312" w:eastAsia="仿宋_GB2312" w:cs="仿宋_GB2312"/>
          <w:color w:val="auto"/>
          <w:sz w:val="32"/>
          <w:szCs w:val="32"/>
        </w:rPr>
        <w:t>。</w:t>
      </w:r>
    </w:p>
    <w:p w14:paraId="5807906F">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ascii="仿宋_GB2312" w:hAnsi="仿宋_GB2312" w:eastAsia="仿宋_GB2312" w:cs="仿宋_GB2312"/>
          <w:color w:val="auto"/>
          <w:sz w:val="32"/>
          <w:szCs w:val="32"/>
        </w:rPr>
      </w:pPr>
    </w:p>
    <w:p w14:paraId="56B1F89D">
      <w:pPr>
        <w:keepNext w:val="0"/>
        <w:keepLines w:val="0"/>
        <w:pageBreakBefore w:val="0"/>
        <w:kinsoku/>
        <w:wordWrap/>
        <w:overflowPunct/>
        <w:autoSpaceDE/>
        <w:autoSpaceDN/>
        <w:bidi w:val="0"/>
        <w:adjustRightInd w:val="0"/>
        <w:snapToGrid w:val="0"/>
        <w:spacing w:line="560" w:lineRule="exact"/>
        <w:jc w:val="center"/>
        <w:textAlignment w:val="auto"/>
        <w:outlineLvl w:val="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第二章 扶持内容</w:t>
      </w:r>
      <w:r>
        <w:rPr>
          <w:rFonts w:hint="eastAsia" w:ascii="黑体" w:hAnsi="黑体" w:eastAsia="黑体" w:cs="黑体"/>
          <w:color w:val="auto"/>
          <w:sz w:val="32"/>
          <w:szCs w:val="32"/>
          <w:lang w:eastAsia="zh-CN"/>
        </w:rPr>
        <w:t>、</w:t>
      </w:r>
      <w:r>
        <w:rPr>
          <w:rFonts w:hint="eastAsia" w:ascii="黑体" w:hAnsi="黑体" w:eastAsia="黑体" w:cs="黑体"/>
          <w:color w:val="auto"/>
          <w:sz w:val="32"/>
          <w:szCs w:val="32"/>
          <w:lang w:val="en-US" w:eastAsia="zh-CN"/>
        </w:rPr>
        <w:t>条件和</w:t>
      </w:r>
      <w:r>
        <w:rPr>
          <w:rFonts w:hint="eastAsia" w:ascii="黑体" w:hAnsi="黑体" w:eastAsia="黑体" w:cs="黑体"/>
          <w:color w:val="auto"/>
          <w:sz w:val="32"/>
          <w:szCs w:val="32"/>
        </w:rPr>
        <w:t>标准</w:t>
      </w:r>
    </w:p>
    <w:p w14:paraId="6A4EB694">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 xml:space="preserve">条 </w:t>
      </w:r>
      <w:r>
        <w:rPr>
          <w:rFonts w:hint="eastAsia" w:ascii="仿宋_GB2312" w:hAnsi="仿宋_GB2312" w:eastAsia="仿宋_GB2312" w:cs="仿宋_GB2312"/>
          <w:color w:val="auto"/>
          <w:sz w:val="32"/>
          <w:szCs w:val="32"/>
          <w:lang w:eastAsia="zh-CN"/>
        </w:rPr>
        <w:t>支持开展</w:t>
      </w:r>
      <w:r>
        <w:rPr>
          <w:rFonts w:hint="eastAsia" w:ascii="仿宋_GB2312" w:hAnsi="仿宋_GB2312" w:eastAsia="仿宋_GB2312" w:cs="仿宋_GB2312"/>
          <w:color w:val="auto"/>
          <w:sz w:val="32"/>
          <w:szCs w:val="32"/>
        </w:rPr>
        <w:t>海外知识产权</w:t>
      </w:r>
      <w:r>
        <w:rPr>
          <w:rFonts w:hint="eastAsia" w:ascii="仿宋_GB2312" w:hAnsi="仿宋_GB2312" w:eastAsia="仿宋_GB2312" w:cs="仿宋_GB2312"/>
          <w:color w:val="auto"/>
          <w:sz w:val="32"/>
          <w:szCs w:val="32"/>
          <w:lang w:eastAsia="zh-CN"/>
        </w:rPr>
        <w:t>风险</w:t>
      </w:r>
      <w:r>
        <w:rPr>
          <w:rFonts w:hint="eastAsia" w:ascii="仿宋_GB2312" w:hAnsi="仿宋_GB2312" w:eastAsia="仿宋_GB2312" w:cs="仿宋_GB2312"/>
          <w:color w:val="auto"/>
          <w:sz w:val="32"/>
          <w:szCs w:val="32"/>
        </w:rPr>
        <w:t>预警</w:t>
      </w:r>
      <w:r>
        <w:rPr>
          <w:rFonts w:hint="eastAsia" w:ascii="仿宋_GB2312" w:hAnsi="仿宋_GB2312" w:eastAsia="仿宋_GB2312" w:cs="仿宋_GB2312"/>
          <w:color w:val="auto"/>
          <w:sz w:val="32"/>
          <w:szCs w:val="32"/>
          <w:lang w:eastAsia="zh-CN"/>
        </w:rPr>
        <w:t>。</w:t>
      </w:r>
    </w:p>
    <w:p w14:paraId="67C10012">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（一）扶持内容</w:t>
      </w:r>
    </w:p>
    <w:p w14:paraId="122FCC66">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支持企业在产品出口、技术出口或有出口需求、赴国外参加展会等情况下，</w:t>
      </w:r>
      <w:r>
        <w:rPr>
          <w:rFonts w:hint="eastAsia" w:ascii="仿宋_GB2312" w:hAnsi="仿宋_GB2312" w:eastAsia="仿宋_GB2312" w:cs="仿宋_GB2312"/>
          <w:color w:val="auto"/>
          <w:sz w:val="32"/>
          <w:szCs w:val="32"/>
          <w:lang w:eastAsia="zh-CN"/>
        </w:rPr>
        <w:t>自行或者</w:t>
      </w:r>
      <w:r>
        <w:rPr>
          <w:rFonts w:hint="eastAsia" w:ascii="仿宋_GB2312" w:hAnsi="仿宋_GB2312" w:eastAsia="仿宋_GB2312" w:cs="仿宋_GB2312"/>
          <w:color w:val="auto"/>
          <w:sz w:val="32"/>
          <w:szCs w:val="32"/>
          <w:lang w:val="en-US" w:eastAsia="zh-CN"/>
        </w:rPr>
        <w:t>委托知识产权服务机构</w:t>
      </w:r>
      <w:r>
        <w:rPr>
          <w:rFonts w:hint="eastAsia" w:ascii="仿宋_GB2312" w:hAnsi="仿宋_GB2312" w:eastAsia="仿宋_GB2312" w:cs="仿宋_GB2312"/>
          <w:color w:val="auto"/>
          <w:sz w:val="32"/>
          <w:szCs w:val="32"/>
        </w:rPr>
        <w:t>开展海外知识产权风险预警分析</w:t>
      </w:r>
      <w:r>
        <w:rPr>
          <w:rFonts w:hint="eastAsia" w:ascii="仿宋_GB2312" w:hAnsi="仿宋_GB2312" w:eastAsia="仿宋_GB2312" w:cs="仿宋_GB2312"/>
          <w:color w:val="auto"/>
          <w:sz w:val="32"/>
          <w:szCs w:val="32"/>
          <w:lang w:eastAsia="zh-CN"/>
        </w:rPr>
        <w:t>。</w:t>
      </w:r>
    </w:p>
    <w:p w14:paraId="71173F16">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outlineLvl w:val="1"/>
        <w:rPr>
          <w:rFonts w:hint="default"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（二）扶持条件</w:t>
      </w:r>
    </w:p>
    <w:p w14:paraId="3EB09C71">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申报单位</w:t>
      </w:r>
      <w:r>
        <w:rPr>
          <w:rFonts w:hint="eastAsia" w:ascii="仿宋_GB2312" w:hAnsi="仿宋_GB2312" w:eastAsia="仿宋_GB2312" w:cs="仿宋_GB2312"/>
          <w:color w:val="auto"/>
          <w:sz w:val="32"/>
          <w:szCs w:val="32"/>
          <w:lang w:val="en-US" w:eastAsia="zh-CN"/>
        </w:rPr>
        <w:t>拥有</w:t>
      </w:r>
      <w:r>
        <w:rPr>
          <w:rFonts w:hint="eastAsia" w:ascii="仿宋_GB2312" w:hAnsi="仿宋_GB2312" w:eastAsia="仿宋_GB2312" w:cs="仿宋_GB2312"/>
          <w:color w:val="auto"/>
          <w:sz w:val="32"/>
          <w:szCs w:val="32"/>
        </w:rPr>
        <w:t>一定</w:t>
      </w:r>
      <w:r>
        <w:rPr>
          <w:rFonts w:hint="eastAsia" w:ascii="仿宋_GB2312" w:hAnsi="仿宋_GB2312" w:eastAsia="仿宋_GB2312" w:cs="仿宋_GB2312"/>
          <w:color w:val="auto"/>
          <w:sz w:val="32"/>
          <w:szCs w:val="32"/>
          <w:lang w:val="en-US" w:eastAsia="zh-CN"/>
        </w:rPr>
        <w:t>数量</w:t>
      </w:r>
      <w:r>
        <w:rPr>
          <w:rFonts w:hint="eastAsia" w:ascii="仿宋_GB2312" w:hAnsi="仿宋_GB2312" w:eastAsia="仿宋_GB2312" w:cs="仿宋_GB2312"/>
          <w:color w:val="auto"/>
          <w:sz w:val="32"/>
          <w:szCs w:val="32"/>
        </w:rPr>
        <w:t>的国内外知识产权，</w:t>
      </w:r>
      <w:r>
        <w:rPr>
          <w:rFonts w:hint="eastAsia" w:ascii="仿宋_GB2312" w:hAnsi="仿宋_GB2312" w:eastAsia="仿宋_GB2312" w:cs="仿宋_GB2312"/>
          <w:color w:val="auto"/>
          <w:sz w:val="32"/>
          <w:szCs w:val="32"/>
          <w:lang w:val="en-US" w:eastAsia="zh-CN"/>
        </w:rPr>
        <w:t>具备</w:t>
      </w:r>
      <w:r>
        <w:rPr>
          <w:rFonts w:hint="eastAsia" w:ascii="仿宋_GB2312" w:hAnsi="仿宋_GB2312" w:eastAsia="仿宋_GB2312" w:cs="仿宋_GB2312"/>
          <w:color w:val="auto"/>
          <w:sz w:val="32"/>
          <w:szCs w:val="32"/>
        </w:rPr>
        <w:t>相关人力资源和配套设施条件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且对知识产权工作有相应资金投入。</w:t>
      </w:r>
    </w:p>
    <w:p w14:paraId="7F51D656">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rPr>
        <w:t>项目中所涉及的知识产权类型限于专利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商标</w:t>
      </w:r>
      <w:r>
        <w:rPr>
          <w:rFonts w:hint="eastAsia" w:ascii="仿宋_GB2312" w:hAnsi="仿宋_GB2312" w:eastAsia="仿宋_GB2312" w:cs="仿宋_GB2312"/>
          <w:color w:val="auto"/>
          <w:sz w:val="32"/>
          <w:szCs w:val="32"/>
          <w:lang w:eastAsia="zh-CN"/>
        </w:rPr>
        <w:t>、地理标志</w:t>
      </w:r>
      <w:r>
        <w:rPr>
          <w:rFonts w:hint="eastAsia" w:ascii="仿宋_GB2312" w:hAnsi="仿宋_GB2312" w:eastAsia="仿宋_GB2312" w:cs="仿宋_GB2312"/>
          <w:color w:val="auto"/>
          <w:sz w:val="32"/>
          <w:szCs w:val="32"/>
        </w:rPr>
        <w:t>。</w:t>
      </w:r>
    </w:p>
    <w:p w14:paraId="2ECF55A7">
      <w:pPr>
        <w:pStyle w:val="3"/>
        <w:keepNext w:val="0"/>
        <w:keepLines w:val="0"/>
        <w:pageBreakBefore w:val="0"/>
        <w:kinsoku/>
        <w:wordWrap/>
        <w:overflowPunct/>
        <w:autoSpaceDE/>
        <w:autoSpaceDN/>
        <w:bidi w:val="0"/>
        <w:adjustRightInd w:val="0"/>
        <w:snapToGrid w:val="0"/>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3.已形成</w:t>
      </w:r>
      <w:r>
        <w:rPr>
          <w:rFonts w:hint="eastAsia" w:ascii="仿宋_GB2312" w:hAnsi="仿宋_GB2312" w:eastAsia="仿宋_GB2312" w:cs="仿宋_GB2312"/>
          <w:color w:val="auto"/>
          <w:sz w:val="32"/>
          <w:szCs w:val="32"/>
        </w:rPr>
        <w:t>风险预警</w:t>
      </w:r>
      <w:r>
        <w:rPr>
          <w:rFonts w:hint="eastAsia" w:ascii="仿宋_GB2312" w:hAnsi="仿宋_GB2312" w:eastAsia="仿宋_GB2312" w:cs="仿宋_GB2312"/>
          <w:color w:val="auto"/>
          <w:sz w:val="32"/>
          <w:szCs w:val="32"/>
          <w:lang w:val="en-US" w:eastAsia="zh-CN"/>
        </w:rPr>
        <w:t>分析报告，内容应包括专利检索分析、法律状态分析、预警分析结论、应对的意见和建议等。</w:t>
      </w:r>
    </w:p>
    <w:p w14:paraId="497F2B8A">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（三）扶持方式及</w:t>
      </w:r>
      <w:r>
        <w:rPr>
          <w:rFonts w:hint="eastAsia" w:ascii="仿宋_GB2312" w:hAnsi="仿宋_GB2312" w:eastAsia="仿宋_GB2312" w:cs="仿宋_GB2312"/>
          <w:color w:val="auto"/>
          <w:sz w:val="32"/>
          <w:szCs w:val="32"/>
          <w:lang w:eastAsia="zh-CN"/>
        </w:rPr>
        <w:t>标准</w:t>
      </w:r>
    </w:p>
    <w:p w14:paraId="0C2FEDE7">
      <w:pPr>
        <w:pStyle w:val="3"/>
        <w:keepNext w:val="0"/>
        <w:keepLines w:val="0"/>
        <w:pageBreakBefore w:val="0"/>
        <w:kinsoku/>
        <w:wordWrap/>
        <w:overflowPunct/>
        <w:autoSpaceDE/>
        <w:autoSpaceDN/>
        <w:bidi w:val="0"/>
        <w:spacing w:after="0"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采取后补贴方式给予扶持。单个项目最高</w:t>
      </w:r>
      <w:r>
        <w:rPr>
          <w:rFonts w:hint="eastAsia" w:ascii="仿宋_GB2312" w:hAnsi="仿宋_GB2312" w:eastAsia="仿宋_GB2312" w:cs="仿宋_GB2312"/>
          <w:color w:val="auto"/>
          <w:sz w:val="32"/>
          <w:szCs w:val="32"/>
          <w:lang w:eastAsia="zh-CN"/>
        </w:rPr>
        <w:t>扶持</w:t>
      </w:r>
      <w:r>
        <w:rPr>
          <w:rFonts w:hint="eastAsia" w:ascii="仿宋_GB2312" w:hAnsi="仿宋_GB2312" w:eastAsia="仿宋_GB2312" w:cs="仿宋_GB2312"/>
          <w:color w:val="auto"/>
          <w:sz w:val="32"/>
          <w:szCs w:val="32"/>
        </w:rPr>
        <w:t>比例不超过</w:t>
      </w:r>
      <w:r>
        <w:rPr>
          <w:rFonts w:hint="eastAsia" w:ascii="仿宋_GB2312" w:hAnsi="仿宋_GB2312" w:eastAsia="仿宋_GB2312" w:cs="仿宋_GB2312"/>
          <w:color w:val="auto"/>
          <w:sz w:val="32"/>
          <w:szCs w:val="32"/>
          <w:lang w:eastAsia="zh-CN"/>
        </w:rPr>
        <w:t>该</w:t>
      </w:r>
      <w:r>
        <w:rPr>
          <w:rFonts w:hint="eastAsia" w:ascii="仿宋_GB2312" w:hAnsi="仿宋_GB2312" w:eastAsia="仿宋_GB2312" w:cs="仿宋_GB2312"/>
          <w:color w:val="auto"/>
          <w:sz w:val="32"/>
          <w:szCs w:val="32"/>
        </w:rPr>
        <w:t>项目实际支出费用的50%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最高</w:t>
      </w:r>
      <w:r>
        <w:rPr>
          <w:rFonts w:hint="eastAsia" w:ascii="仿宋_GB2312" w:hAnsi="仿宋_GB2312" w:eastAsia="仿宋_GB2312" w:cs="仿宋_GB2312"/>
          <w:color w:val="auto"/>
          <w:sz w:val="32"/>
          <w:szCs w:val="32"/>
          <w:lang w:eastAsia="zh-CN"/>
        </w:rPr>
        <w:t>扶持</w:t>
      </w:r>
      <w:r>
        <w:rPr>
          <w:rFonts w:hint="eastAsia" w:ascii="仿宋_GB2312" w:hAnsi="仿宋_GB2312" w:eastAsia="仿宋_GB2312" w:cs="仿宋_GB2312"/>
          <w:color w:val="auto"/>
          <w:sz w:val="32"/>
          <w:szCs w:val="32"/>
        </w:rPr>
        <w:t>额度不超过</w:t>
      </w:r>
      <w:r>
        <w:rPr>
          <w:rFonts w:hint="eastAsia" w:ascii="仿宋_GB2312" w:hAnsi="仿宋_GB2312" w:eastAsia="仿宋_GB2312" w:cs="仿宋_GB2312"/>
          <w:color w:val="auto"/>
          <w:sz w:val="32"/>
          <w:szCs w:val="32"/>
          <w:lang w:val="en-US" w:eastAsia="zh-CN"/>
        </w:rPr>
        <w:t>30万元</w:t>
      </w:r>
      <w:r>
        <w:rPr>
          <w:rFonts w:hint="eastAsia" w:ascii="仿宋_GB2312" w:hAnsi="仿宋_GB2312" w:eastAsia="仿宋_GB2312" w:cs="仿宋_GB2312"/>
          <w:color w:val="auto"/>
          <w:sz w:val="32"/>
          <w:szCs w:val="32"/>
        </w:rPr>
        <w:t>。</w:t>
      </w:r>
    </w:p>
    <w:p w14:paraId="12111704">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第五条 支持海外知识产权</w:t>
      </w:r>
      <w:r>
        <w:rPr>
          <w:rFonts w:hint="eastAsia" w:ascii="仿宋_GB2312" w:hAnsi="仿宋_GB2312" w:eastAsia="仿宋_GB2312" w:cs="仿宋_GB2312"/>
          <w:color w:val="auto"/>
          <w:sz w:val="32"/>
          <w:szCs w:val="32"/>
          <w:lang w:val="en-US" w:eastAsia="zh-CN"/>
        </w:rPr>
        <w:t>纠纷应对</w:t>
      </w:r>
      <w:r>
        <w:rPr>
          <w:rFonts w:hint="eastAsia" w:ascii="仿宋_GB2312" w:hAnsi="仿宋_GB2312" w:eastAsia="仿宋_GB2312" w:cs="仿宋_GB2312"/>
          <w:color w:val="auto"/>
          <w:sz w:val="32"/>
          <w:szCs w:val="32"/>
          <w:lang w:eastAsia="zh-CN"/>
        </w:rPr>
        <w:t>。</w:t>
      </w:r>
    </w:p>
    <w:p w14:paraId="24736C99">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（一）扶持内容</w:t>
      </w:r>
    </w:p>
    <w:p w14:paraId="20DBD71C">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rPr>
        <w:t>支持</w:t>
      </w:r>
      <w:r>
        <w:rPr>
          <w:rFonts w:hint="eastAsia" w:ascii="仿宋_GB2312" w:hAnsi="仿宋_GB2312" w:eastAsia="仿宋_GB2312" w:cs="仿宋_GB2312"/>
          <w:color w:val="auto"/>
          <w:sz w:val="32"/>
          <w:szCs w:val="32"/>
          <w:lang w:eastAsia="zh-CN"/>
        </w:rPr>
        <w:t>企事业单位</w:t>
      </w:r>
      <w:r>
        <w:rPr>
          <w:rFonts w:hint="eastAsia" w:ascii="仿宋_GB2312" w:hAnsi="仿宋_GB2312" w:eastAsia="仿宋_GB2312" w:cs="仿宋_GB2312"/>
          <w:color w:val="auto"/>
          <w:sz w:val="32"/>
          <w:szCs w:val="32"/>
        </w:rPr>
        <w:t>和社会组织应对发生在海外的知识产权纠纷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highlight w:val="none"/>
          <w:lang w:val="en-US" w:eastAsia="zh-CN"/>
        </w:rPr>
        <w:t>按照</w:t>
      </w:r>
      <w:r>
        <w:rPr>
          <w:rFonts w:hint="eastAsia" w:ascii="仿宋_GB2312" w:hAnsi="仿宋_GB2312" w:eastAsia="仿宋_GB2312" w:cs="仿宋_GB2312"/>
          <w:color w:val="auto"/>
          <w:sz w:val="32"/>
          <w:szCs w:val="32"/>
          <w:highlight w:val="none"/>
        </w:rPr>
        <w:t>纠纷应对中</w:t>
      </w:r>
      <w:r>
        <w:rPr>
          <w:rFonts w:hint="eastAsia" w:ascii="仿宋_GB2312" w:hAnsi="仿宋_GB2312" w:eastAsia="仿宋_GB2312" w:cs="仿宋_GB2312"/>
          <w:color w:val="auto"/>
          <w:sz w:val="32"/>
          <w:szCs w:val="32"/>
          <w:highlight w:val="none"/>
          <w:lang w:eastAsia="zh-CN"/>
        </w:rPr>
        <w:t>、纠纷</w:t>
      </w:r>
      <w:r>
        <w:rPr>
          <w:rFonts w:hint="eastAsia" w:ascii="仿宋_GB2312" w:hAnsi="仿宋_GB2312" w:eastAsia="仿宋_GB2312" w:cs="仿宋_GB2312"/>
          <w:color w:val="auto"/>
          <w:sz w:val="32"/>
          <w:szCs w:val="32"/>
          <w:highlight w:val="none"/>
        </w:rPr>
        <w:t>已</w:t>
      </w:r>
      <w:r>
        <w:rPr>
          <w:rFonts w:hint="eastAsia" w:ascii="仿宋_GB2312" w:hAnsi="仿宋_GB2312" w:eastAsia="仿宋_GB2312" w:cs="仿宋_GB2312"/>
          <w:color w:val="auto"/>
          <w:sz w:val="32"/>
          <w:szCs w:val="32"/>
          <w:highlight w:val="none"/>
          <w:lang w:val="en-US" w:eastAsia="zh-CN"/>
        </w:rPr>
        <w:t>结案两种类型给予维权援助</w:t>
      </w:r>
      <w:r>
        <w:rPr>
          <w:rFonts w:hint="eastAsia" w:ascii="仿宋_GB2312" w:hAnsi="仿宋_GB2312" w:eastAsia="仿宋_GB2312" w:cs="仿宋_GB2312"/>
          <w:color w:val="auto"/>
          <w:sz w:val="32"/>
          <w:szCs w:val="32"/>
          <w:highlight w:val="none"/>
        </w:rPr>
        <w:t>。</w:t>
      </w:r>
    </w:p>
    <w:p w14:paraId="5318333D">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（二）扶持条件</w:t>
      </w:r>
    </w:p>
    <w:p w14:paraId="74327B0B">
      <w:pPr>
        <w:keepNext w:val="0"/>
        <w:keepLines w:val="0"/>
        <w:pageBreakBefore w:val="0"/>
        <w:widowControl/>
        <w:kinsoku/>
        <w:wordWrap/>
        <w:overflowPunct/>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CN"/>
        </w:rPr>
        <w:t>申报单位应当</w:t>
      </w:r>
      <w:r>
        <w:rPr>
          <w:rFonts w:hint="eastAsia" w:ascii="仿宋_GB2312" w:eastAsia="仿宋_GB2312"/>
          <w:bCs/>
          <w:color w:val="auto"/>
          <w:sz w:val="32"/>
          <w:szCs w:val="32"/>
          <w:highlight w:val="none"/>
        </w:rPr>
        <w:t>建立知识产权管理制度，</w:t>
      </w:r>
      <w:r>
        <w:rPr>
          <w:rFonts w:hint="eastAsia" w:ascii="仿宋_GB2312" w:eastAsia="仿宋_GB2312"/>
          <w:bCs/>
          <w:color w:val="auto"/>
          <w:sz w:val="32"/>
          <w:szCs w:val="32"/>
          <w:highlight w:val="none"/>
          <w:lang w:eastAsia="zh-CN"/>
        </w:rPr>
        <w:t>并</w:t>
      </w:r>
      <w:r>
        <w:rPr>
          <w:rFonts w:hint="eastAsia" w:ascii="仿宋_GB2312" w:eastAsia="仿宋_GB2312"/>
          <w:bCs/>
          <w:color w:val="auto"/>
          <w:sz w:val="32"/>
          <w:szCs w:val="32"/>
          <w:highlight w:val="none"/>
        </w:rPr>
        <w:t>在纠纷发生地具备处理该知识产权纠纷的权利基础</w:t>
      </w:r>
      <w:r>
        <w:rPr>
          <w:rFonts w:hint="eastAsia" w:ascii="仿宋_GB2312" w:eastAsia="仿宋_GB2312"/>
          <w:bCs/>
          <w:color w:val="auto"/>
          <w:sz w:val="32"/>
          <w:szCs w:val="32"/>
          <w:highlight w:val="none"/>
          <w:lang w:eastAsia="zh-CN"/>
        </w:rPr>
        <w:t>、相应的</w:t>
      </w:r>
      <w:r>
        <w:rPr>
          <w:rFonts w:hint="eastAsia" w:ascii="仿宋_GB2312" w:hAnsi="仿宋_GB2312" w:eastAsia="仿宋_GB2312" w:cs="仿宋_GB2312"/>
          <w:color w:val="auto"/>
          <w:sz w:val="32"/>
          <w:szCs w:val="32"/>
          <w:highlight w:val="none"/>
        </w:rPr>
        <w:t>人力资源</w:t>
      </w:r>
      <w:r>
        <w:rPr>
          <w:rFonts w:hint="eastAsia" w:ascii="仿宋_GB2312" w:hAnsi="仿宋_GB2312" w:eastAsia="仿宋_GB2312" w:cs="仿宋_GB2312"/>
          <w:color w:val="auto"/>
          <w:sz w:val="32"/>
          <w:szCs w:val="32"/>
          <w:highlight w:val="none"/>
          <w:lang w:eastAsia="zh-CN"/>
        </w:rPr>
        <w:t>和</w:t>
      </w:r>
      <w:r>
        <w:rPr>
          <w:rFonts w:hint="eastAsia" w:ascii="仿宋_GB2312" w:hAnsi="仿宋_GB2312" w:eastAsia="仿宋_GB2312" w:cs="仿宋_GB2312"/>
          <w:color w:val="auto"/>
          <w:sz w:val="32"/>
          <w:szCs w:val="32"/>
          <w:highlight w:val="none"/>
        </w:rPr>
        <w:t>资金投入</w:t>
      </w:r>
      <w:r>
        <w:rPr>
          <w:rFonts w:hint="eastAsia" w:ascii="仿宋_GB2312" w:hAnsi="仿宋_GB2312" w:eastAsia="仿宋_GB2312" w:cs="仿宋_GB2312"/>
          <w:color w:val="auto"/>
          <w:sz w:val="32"/>
          <w:szCs w:val="32"/>
          <w:highlight w:val="none"/>
          <w:lang w:eastAsia="zh-CN"/>
        </w:rPr>
        <w:t>。</w:t>
      </w:r>
    </w:p>
    <w:p w14:paraId="490877F2">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海外知识产权纠纷所涉及的知识产权类型限于专利、商标、地理标志</w:t>
      </w:r>
      <w:r>
        <w:rPr>
          <w:rFonts w:hint="eastAsia" w:ascii="仿宋_GB2312" w:eastAsia="仿宋_GB2312"/>
          <w:color w:val="auto"/>
          <w:sz w:val="32"/>
          <w:szCs w:val="32"/>
          <w:lang w:eastAsia="zh-CN"/>
        </w:rPr>
        <w:t>。</w:t>
      </w:r>
    </w:p>
    <w:p w14:paraId="1CAEA51D">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hint="eastAsia" w:ascii="仿宋_GB2312" w:eastAsia="仿宋_GB2312"/>
          <w:color w:val="auto"/>
          <w:sz w:val="32"/>
          <w:szCs w:val="32"/>
          <w:lang w:eastAsia="zh-CN"/>
        </w:rPr>
      </w:pPr>
      <w:r>
        <w:rPr>
          <w:rFonts w:hint="eastAsia" w:ascii="仿宋_GB2312" w:hAnsi="仿宋_GB2312" w:eastAsia="仿宋_GB2312" w:cs="仿宋_GB2312"/>
          <w:color w:val="auto"/>
          <w:sz w:val="32"/>
          <w:szCs w:val="32"/>
          <w:lang w:val="en-US" w:eastAsia="zh-CN"/>
        </w:rPr>
        <w:t>3.申报</w:t>
      </w:r>
      <w:r>
        <w:rPr>
          <w:rFonts w:hint="eastAsia" w:ascii="仿宋_GB2312" w:eastAsia="仿宋_GB2312"/>
          <w:color w:val="auto"/>
          <w:sz w:val="32"/>
          <w:szCs w:val="32"/>
        </w:rPr>
        <w:t>纠纷应对中</w:t>
      </w:r>
      <w:r>
        <w:rPr>
          <w:rFonts w:hint="eastAsia" w:ascii="仿宋_GB2312" w:hAnsi="仿宋_GB2312" w:eastAsia="仿宋_GB2312" w:cs="仿宋_GB2312"/>
          <w:color w:val="auto"/>
          <w:sz w:val="32"/>
          <w:szCs w:val="32"/>
          <w:lang w:val="en-US" w:eastAsia="zh-CN"/>
        </w:rPr>
        <w:t>项目</w:t>
      </w:r>
      <w:r>
        <w:rPr>
          <w:rFonts w:hint="eastAsia" w:ascii="仿宋_GB2312" w:eastAsia="仿宋_GB2312"/>
          <w:color w:val="auto"/>
          <w:sz w:val="32"/>
          <w:szCs w:val="32"/>
        </w:rPr>
        <w:t>的</w:t>
      </w:r>
      <w:r>
        <w:rPr>
          <w:rFonts w:hint="eastAsia" w:ascii="仿宋_GB2312" w:hAnsi="仿宋_GB2312" w:eastAsia="仿宋_GB2312" w:cs="仿宋_GB2312"/>
          <w:color w:val="auto"/>
          <w:sz w:val="32"/>
          <w:szCs w:val="32"/>
          <w:lang w:val="en-US" w:eastAsia="zh-CN"/>
        </w:rPr>
        <w:t>，需</w:t>
      </w:r>
      <w:r>
        <w:rPr>
          <w:rFonts w:hint="eastAsia" w:ascii="仿宋_GB2312" w:eastAsia="仿宋_GB2312"/>
          <w:color w:val="auto"/>
          <w:sz w:val="32"/>
          <w:szCs w:val="32"/>
        </w:rPr>
        <w:t>提供明确的纠纷应对方案</w:t>
      </w:r>
      <w:r>
        <w:rPr>
          <w:rFonts w:hint="eastAsia" w:ascii="仿宋_GB2312" w:eastAsia="仿宋_GB2312"/>
          <w:color w:val="auto"/>
          <w:sz w:val="32"/>
          <w:szCs w:val="32"/>
          <w:lang w:eastAsia="zh-CN"/>
        </w:rPr>
        <w:t>；</w:t>
      </w:r>
      <w:r>
        <w:rPr>
          <w:rFonts w:hint="eastAsia" w:ascii="仿宋_GB2312" w:hAnsi="仿宋_GB2312" w:eastAsia="仿宋_GB2312" w:cs="仿宋_GB2312"/>
          <w:color w:val="auto"/>
          <w:sz w:val="32"/>
          <w:szCs w:val="32"/>
          <w:lang w:val="en-US" w:eastAsia="zh-CN"/>
        </w:rPr>
        <w:t>申报</w:t>
      </w:r>
      <w:r>
        <w:rPr>
          <w:rFonts w:hint="eastAsia" w:ascii="仿宋_GB2312" w:hAnsi="仿宋_GB2312" w:eastAsia="仿宋_GB2312" w:cs="仿宋_GB2312"/>
          <w:color w:val="auto"/>
          <w:sz w:val="32"/>
          <w:szCs w:val="32"/>
          <w:lang w:eastAsia="zh-CN"/>
        </w:rPr>
        <w:t>纠纷</w:t>
      </w:r>
      <w:r>
        <w:rPr>
          <w:rFonts w:hint="eastAsia" w:ascii="仿宋_GB2312" w:hAnsi="仿宋_GB2312" w:eastAsia="仿宋_GB2312" w:cs="仿宋_GB2312"/>
          <w:color w:val="auto"/>
          <w:sz w:val="32"/>
          <w:szCs w:val="32"/>
        </w:rPr>
        <w:t>已</w:t>
      </w:r>
      <w:r>
        <w:rPr>
          <w:rFonts w:hint="eastAsia" w:ascii="仿宋_GB2312" w:hAnsi="仿宋_GB2312" w:eastAsia="仿宋_GB2312" w:cs="仿宋_GB2312"/>
          <w:color w:val="auto"/>
          <w:sz w:val="32"/>
          <w:szCs w:val="32"/>
          <w:lang w:val="en-US" w:eastAsia="zh-CN"/>
        </w:rPr>
        <w:t>结案项目的，需要提供</w:t>
      </w:r>
      <w:r>
        <w:rPr>
          <w:rFonts w:hint="eastAsia" w:ascii="仿宋_GB2312" w:eastAsia="仿宋_GB2312"/>
          <w:bCs/>
          <w:color w:val="auto"/>
          <w:sz w:val="32"/>
          <w:szCs w:val="32"/>
          <w:lang w:eastAsia="zh-CN"/>
        </w:rPr>
        <w:t>能够证明</w:t>
      </w:r>
      <w:r>
        <w:rPr>
          <w:rFonts w:hint="eastAsia" w:ascii="仿宋_GB2312" w:eastAsia="仿宋_GB2312"/>
          <w:color w:val="auto"/>
          <w:sz w:val="32"/>
          <w:szCs w:val="32"/>
        </w:rPr>
        <w:t>取得有利结果</w:t>
      </w:r>
      <w:r>
        <w:rPr>
          <w:rFonts w:hint="eastAsia" w:ascii="仿宋_GB2312" w:hAnsi="仿宋_GB2312" w:eastAsia="仿宋_GB2312" w:cs="仿宋_GB2312"/>
          <w:color w:val="auto"/>
          <w:sz w:val="32"/>
          <w:szCs w:val="32"/>
          <w:lang w:val="en-US" w:eastAsia="zh-CN"/>
        </w:rPr>
        <w:t>的材料</w:t>
      </w:r>
      <w:r>
        <w:rPr>
          <w:rFonts w:hint="eastAsia" w:ascii="仿宋_GB2312" w:eastAsia="仿宋_GB2312"/>
          <w:color w:val="auto"/>
          <w:sz w:val="32"/>
          <w:szCs w:val="32"/>
          <w:lang w:eastAsia="zh-CN"/>
        </w:rPr>
        <w:t>。</w:t>
      </w:r>
    </w:p>
    <w:p w14:paraId="664815E9">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4.申报单位的同一纠纷，只能申报一次同一类型的维权援助。</w:t>
      </w:r>
    </w:p>
    <w:p w14:paraId="552F922B">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5.申报单位属于中小企业的，优先予以支持</w:t>
      </w:r>
      <w:r>
        <w:rPr>
          <w:rFonts w:hint="eastAsia" w:ascii="仿宋_GB2312" w:hAnsi="仿宋_GB2312" w:eastAsia="仿宋_GB2312" w:cs="仿宋_GB2312"/>
          <w:color w:val="auto"/>
          <w:sz w:val="32"/>
          <w:szCs w:val="32"/>
          <w:highlight w:val="none"/>
        </w:rPr>
        <w:t>。</w:t>
      </w:r>
    </w:p>
    <w:p w14:paraId="582732A9">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（三）扶持方式及</w:t>
      </w:r>
      <w:r>
        <w:rPr>
          <w:rFonts w:hint="eastAsia" w:ascii="仿宋_GB2312" w:hAnsi="仿宋_GB2312" w:eastAsia="仿宋_GB2312" w:cs="仿宋_GB2312"/>
          <w:color w:val="auto"/>
          <w:sz w:val="32"/>
          <w:szCs w:val="32"/>
          <w:lang w:eastAsia="zh-CN"/>
        </w:rPr>
        <w:t>标准</w:t>
      </w:r>
    </w:p>
    <w:p w14:paraId="6EE31359">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采取后补贴方式给予扶持。对于纠纷应对中项目、纠纷已结案项目，最高扶持比例分别为不超过项目申报单位应对该海外纠纷实际支付总费用的30%和50%。专利类项目最高扶持金额不超过60万元；商标、地理标志类项目最高扶持金额不超过12万元。同一</w:t>
      </w:r>
      <w:r>
        <w:rPr>
          <w:rFonts w:hint="eastAsia" w:ascii="仿宋_GB2312" w:hAnsi="仿宋_GB2312" w:eastAsia="仿宋_GB2312" w:cs="仿宋_GB2312"/>
          <w:color w:val="auto"/>
          <w:sz w:val="32"/>
          <w:szCs w:val="32"/>
          <w:lang w:eastAsia="zh-CN"/>
        </w:rPr>
        <w:t>申报</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每年援助金额最高不超过100万元。具体扶持标准根据纠纷所涉不同国家（地区）及知识产权类型设置。</w:t>
      </w:r>
    </w:p>
    <w:p w14:paraId="118A1389">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第六条 支持开展知识产权纠纷调解。</w:t>
      </w:r>
    </w:p>
    <w:p w14:paraId="055360D2">
      <w:pPr>
        <w:keepNext w:val="0"/>
        <w:keepLines w:val="0"/>
        <w:pageBreakBefore w:val="0"/>
        <w:kinsoku/>
        <w:wordWrap/>
        <w:overflowPunct/>
        <w:autoSpaceDE/>
        <w:autoSpaceDN/>
        <w:bidi w:val="0"/>
        <w:adjustRightInd w:val="0"/>
        <w:snapToGrid w:val="0"/>
        <w:spacing w:line="560" w:lineRule="exact"/>
        <w:ind w:firstLine="640" w:firstLineChars="200"/>
        <w:textAlignment w:val="auto"/>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（一）扶持内容</w:t>
      </w:r>
    </w:p>
    <w:p w14:paraId="095D6C04">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rPr>
        <w:t>支持</w:t>
      </w:r>
      <w:r>
        <w:rPr>
          <w:rFonts w:hint="eastAsia" w:ascii="仿宋_GB2312" w:hAnsi="仿宋_GB2312" w:eastAsia="仿宋_GB2312" w:cs="仿宋_GB2312"/>
          <w:color w:val="auto"/>
          <w:sz w:val="32"/>
          <w:szCs w:val="32"/>
          <w:highlight w:val="none"/>
          <w:lang w:eastAsia="zh"/>
        </w:rPr>
        <w:t>行业性、专业性</w:t>
      </w:r>
      <w:r>
        <w:rPr>
          <w:rFonts w:hint="eastAsia" w:ascii="仿宋_GB2312" w:hAnsi="仿宋_GB2312" w:eastAsia="仿宋_GB2312" w:cs="仿宋_GB2312"/>
          <w:color w:val="auto"/>
          <w:sz w:val="32"/>
          <w:szCs w:val="32"/>
          <w:highlight w:val="none"/>
        </w:rPr>
        <w:t>知识产权纠纷人民调解委员会开展知识</w:t>
      </w:r>
      <w:r>
        <w:rPr>
          <w:rFonts w:hint="eastAsia" w:ascii="仿宋_GB2312" w:hAnsi="仿宋_GB2312" w:eastAsia="仿宋_GB2312" w:cs="仿宋_GB2312"/>
          <w:color w:val="auto"/>
          <w:sz w:val="32"/>
          <w:szCs w:val="32"/>
        </w:rPr>
        <w:t>产权</w:t>
      </w:r>
      <w:r>
        <w:rPr>
          <w:rFonts w:hint="eastAsia" w:ascii="仿宋_GB2312" w:hAnsi="仿宋_GB2312" w:eastAsia="仿宋_GB2312" w:cs="仿宋_GB2312"/>
          <w:color w:val="auto"/>
          <w:sz w:val="32"/>
          <w:szCs w:val="32"/>
          <w:lang w:eastAsia="zh"/>
        </w:rPr>
        <w:t>矛盾</w:t>
      </w:r>
      <w:r>
        <w:rPr>
          <w:rFonts w:hint="eastAsia" w:ascii="仿宋_GB2312" w:hAnsi="仿宋_GB2312" w:eastAsia="仿宋_GB2312" w:cs="仿宋_GB2312"/>
          <w:color w:val="auto"/>
          <w:sz w:val="32"/>
          <w:szCs w:val="32"/>
        </w:rPr>
        <w:t>排查</w:t>
      </w:r>
      <w:r>
        <w:rPr>
          <w:rFonts w:hint="eastAsia" w:ascii="仿宋_GB2312" w:hAnsi="仿宋_GB2312" w:eastAsia="仿宋_GB2312" w:cs="仿宋_GB2312"/>
          <w:color w:val="auto"/>
          <w:sz w:val="32"/>
          <w:szCs w:val="32"/>
          <w:lang w:eastAsia="zh"/>
        </w:rPr>
        <w:t>、纠纷调解、普法宣传等综合</w:t>
      </w:r>
      <w:r>
        <w:rPr>
          <w:rFonts w:hint="eastAsia" w:ascii="仿宋_GB2312" w:hAnsi="仿宋_GB2312" w:eastAsia="仿宋_GB2312" w:cs="仿宋_GB2312"/>
          <w:color w:val="auto"/>
          <w:sz w:val="32"/>
          <w:szCs w:val="32"/>
          <w:lang w:val="en-US" w:eastAsia="zh-CN"/>
        </w:rPr>
        <w:t>性工作。</w:t>
      </w:r>
    </w:p>
    <w:p w14:paraId="1C8956D4">
      <w:pPr>
        <w:keepNext w:val="0"/>
        <w:keepLines w:val="0"/>
        <w:pageBreakBefore w:val="0"/>
        <w:kinsoku/>
        <w:wordWrap/>
        <w:overflowPunct/>
        <w:autoSpaceDE/>
        <w:autoSpaceDN/>
        <w:bidi w:val="0"/>
        <w:spacing w:line="560" w:lineRule="exact"/>
        <w:ind w:firstLine="640" w:firstLineChars="200"/>
        <w:textAlignment w:val="auto"/>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（二）扶持条件</w:t>
      </w:r>
    </w:p>
    <w:p w14:paraId="46BC6246">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申报单位应为合法设立的在本市从事知识产权纠纷调解工作的知识产权纠纷人民调解委员会，具备开展调解工作必要的软硬件设施、专兼职调解员，且年度内完成一定数量的调解案件等工作。</w:t>
      </w:r>
    </w:p>
    <w:p w14:paraId="60A7F6B9">
      <w:pPr>
        <w:keepNext w:val="0"/>
        <w:keepLines w:val="0"/>
        <w:pageBreakBefore w:val="0"/>
        <w:kinsoku/>
        <w:wordWrap/>
        <w:overflowPunct/>
        <w:autoSpaceDE/>
        <w:autoSpaceDN/>
        <w:bidi w:val="0"/>
        <w:adjustRightInd w:val="0"/>
        <w:snapToGrid w:val="0"/>
        <w:spacing w:line="560" w:lineRule="exact"/>
        <w:ind w:firstLine="640" w:firstLineChars="200"/>
        <w:textAlignment w:val="auto"/>
        <w:outlineLvl w:val="1"/>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（三）扶持方式及</w:t>
      </w:r>
      <w:r>
        <w:rPr>
          <w:rFonts w:hint="eastAsia" w:ascii="仿宋_GB2312" w:hAnsi="仿宋_GB2312" w:eastAsia="仿宋_GB2312" w:cs="仿宋_GB2312"/>
          <w:color w:val="auto"/>
          <w:sz w:val="32"/>
          <w:szCs w:val="32"/>
          <w:lang w:eastAsia="zh-CN"/>
        </w:rPr>
        <w:t>标准</w:t>
      </w:r>
    </w:p>
    <w:p w14:paraId="11E89BE8">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
        </w:rPr>
      </w:pPr>
      <w:r>
        <w:rPr>
          <w:rFonts w:hint="eastAsia" w:ascii="仿宋_GB2312" w:hAnsi="仿宋_GB2312" w:eastAsia="仿宋_GB2312" w:cs="仿宋_GB2312"/>
          <w:color w:val="auto"/>
          <w:sz w:val="32"/>
          <w:szCs w:val="32"/>
          <w:lang w:eastAsia="zh"/>
        </w:rPr>
        <w:t>结合调解组织年度内调解员配备、调解案件量、开展活动量等情况，采取资助方式分梯度分档次给予扶持，扶持金额不超过本年度用于开展调解工作总成本的70%，各档次金额最高不超过30万元、20万元、8万元。</w:t>
      </w:r>
    </w:p>
    <w:p w14:paraId="72E13835">
      <w:pPr>
        <w:keepNext w:val="0"/>
        <w:keepLines w:val="0"/>
        <w:pageBreakBefore w:val="0"/>
        <w:kinsoku/>
        <w:wordWrap/>
        <w:overflowPunct/>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
        </w:rPr>
      </w:pPr>
    </w:p>
    <w:p w14:paraId="59070E39">
      <w:pPr>
        <w:keepNext w:val="0"/>
        <w:keepLines w:val="0"/>
        <w:pageBreakBefore w:val="0"/>
        <w:kinsoku/>
        <w:wordWrap/>
        <w:overflowPunct/>
        <w:autoSpaceDE/>
        <w:autoSpaceDN/>
        <w:bidi w:val="0"/>
        <w:spacing w:line="560" w:lineRule="exact"/>
        <w:jc w:val="center"/>
        <w:textAlignment w:val="auto"/>
        <w:outlineLvl w:val="0"/>
        <w:rPr>
          <w:rFonts w:hint="eastAsia" w:ascii="黑体" w:hAnsi="黑体" w:eastAsia="黑体" w:cs="黑体"/>
          <w:color w:val="auto"/>
          <w:sz w:val="32"/>
          <w:szCs w:val="32"/>
        </w:rPr>
      </w:pPr>
      <w:r>
        <w:rPr>
          <w:rFonts w:hint="eastAsia" w:ascii="黑体" w:hAnsi="黑体" w:eastAsia="黑体" w:cs="黑体"/>
          <w:color w:val="auto"/>
          <w:sz w:val="32"/>
          <w:szCs w:val="32"/>
        </w:rPr>
        <w:t>第三章 组织实施</w:t>
      </w:r>
    </w:p>
    <w:p w14:paraId="5DBC61AF">
      <w:pPr>
        <w:pStyle w:val="3"/>
        <w:keepNext w:val="0"/>
        <w:keepLines w:val="0"/>
        <w:pageBreakBefore w:val="0"/>
        <w:kinsoku/>
        <w:wordWrap/>
        <w:overflowPunct/>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第七条 项目组织实施程序包括：</w:t>
      </w:r>
    </w:p>
    <w:p w14:paraId="2BA96F1B">
      <w:pPr>
        <w:pStyle w:val="3"/>
        <w:keepNext w:val="0"/>
        <w:keepLines w:val="0"/>
        <w:pageBreakBefore w:val="0"/>
        <w:kinsoku/>
        <w:wordWrap/>
        <w:overflowPunct/>
        <w:autoSpaceDE/>
        <w:autoSpaceDN/>
        <w:bidi w:val="0"/>
        <w:adjustRightInd w:val="0"/>
        <w:snapToGrid w:val="0"/>
        <w:spacing w:after="0"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（一）北京市知识产权局</w:t>
      </w:r>
      <w:r>
        <w:rPr>
          <w:rFonts w:hint="eastAsia" w:ascii="仿宋_GB2312" w:hAnsi="仿宋_GB2312" w:eastAsia="仿宋_GB2312" w:cs="仿宋_GB2312"/>
          <w:color w:val="auto"/>
          <w:sz w:val="32"/>
          <w:szCs w:val="32"/>
          <w:lang w:eastAsia="zh-CN"/>
        </w:rPr>
        <w:t>根据年度工作安排，在官方网站</w:t>
      </w:r>
      <w:r>
        <w:rPr>
          <w:rFonts w:hint="eastAsia" w:ascii="仿宋_GB2312" w:hAnsi="仿宋_GB2312" w:eastAsia="仿宋_GB2312" w:cs="仿宋_GB2312"/>
          <w:color w:val="auto"/>
          <w:sz w:val="32"/>
          <w:szCs w:val="32"/>
        </w:rPr>
        <w:t>发布申报</w:t>
      </w:r>
      <w:r>
        <w:rPr>
          <w:rFonts w:hint="eastAsia" w:ascii="仿宋_GB2312" w:hAnsi="仿宋_GB2312" w:eastAsia="仿宋_GB2312" w:cs="仿宋_GB2312"/>
          <w:color w:val="auto"/>
          <w:sz w:val="32"/>
          <w:szCs w:val="32"/>
          <w:lang w:val="en-US" w:eastAsia="zh-CN"/>
        </w:rPr>
        <w:t>通知</w:t>
      </w:r>
      <w:r>
        <w:rPr>
          <w:rFonts w:hint="eastAsia" w:ascii="仿宋_GB2312" w:hAnsi="仿宋_GB2312" w:eastAsia="仿宋_GB2312" w:cs="仿宋_GB2312"/>
          <w:color w:val="auto"/>
          <w:sz w:val="32"/>
          <w:szCs w:val="32"/>
          <w:lang w:eastAsia="zh-CN"/>
        </w:rPr>
        <w:t>。项目申报单位根据申报</w:t>
      </w:r>
      <w:r>
        <w:rPr>
          <w:rFonts w:hint="eastAsia" w:ascii="仿宋_GB2312" w:hAnsi="仿宋_GB2312" w:eastAsia="仿宋_GB2312" w:cs="仿宋_GB2312"/>
          <w:color w:val="auto"/>
          <w:sz w:val="32"/>
          <w:szCs w:val="32"/>
          <w:lang w:val="en-US" w:eastAsia="zh-CN"/>
        </w:rPr>
        <w:t>通知</w:t>
      </w:r>
      <w:r>
        <w:rPr>
          <w:rFonts w:hint="eastAsia" w:ascii="仿宋_GB2312" w:hAnsi="仿宋_GB2312" w:eastAsia="仿宋_GB2312" w:cs="仿宋_GB2312"/>
          <w:color w:val="auto"/>
          <w:sz w:val="32"/>
          <w:szCs w:val="32"/>
          <w:lang w:eastAsia="zh-CN"/>
        </w:rPr>
        <w:t>要求，提交申报材料</w:t>
      </w:r>
      <w:r>
        <w:rPr>
          <w:rFonts w:hint="eastAsia" w:ascii="仿宋_GB2312" w:hAnsi="仿宋_GB2312" w:eastAsia="仿宋_GB2312" w:cs="仿宋_GB2312"/>
          <w:color w:val="auto"/>
          <w:sz w:val="32"/>
          <w:szCs w:val="32"/>
        </w:rPr>
        <w:t>。</w:t>
      </w:r>
    </w:p>
    <w:p w14:paraId="7F15CE94">
      <w:pPr>
        <w:pStyle w:val="3"/>
        <w:keepNext w:val="0"/>
        <w:keepLines w:val="0"/>
        <w:pageBreakBefore w:val="0"/>
        <w:kinsoku/>
        <w:wordWrap/>
        <w:overflowPunct/>
        <w:autoSpaceDE/>
        <w:autoSpaceDN/>
        <w:bidi w:val="0"/>
        <w:adjustRightInd w:val="0"/>
        <w:snapToGrid w:val="0"/>
        <w:spacing w:after="0"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北京</w:t>
      </w:r>
      <w:r>
        <w:rPr>
          <w:rFonts w:hint="eastAsia" w:ascii="仿宋_GB2312" w:hAnsi="仿宋_GB2312" w:eastAsia="仿宋_GB2312" w:cs="仿宋_GB2312"/>
          <w:color w:val="auto"/>
          <w:sz w:val="32"/>
          <w:szCs w:val="32"/>
        </w:rPr>
        <w:t>市知识产权局对申报项目进行汇总和初审。</w:t>
      </w:r>
    </w:p>
    <w:p w14:paraId="590DE288">
      <w:pPr>
        <w:pStyle w:val="3"/>
        <w:keepNext w:val="0"/>
        <w:keepLines w:val="0"/>
        <w:pageBreakBefore w:val="0"/>
        <w:kinsoku/>
        <w:wordWrap/>
        <w:overflowPunct/>
        <w:autoSpaceDE/>
        <w:autoSpaceDN/>
        <w:bidi w:val="0"/>
        <w:adjustRightInd w:val="0"/>
        <w:snapToGrid w:val="0"/>
        <w:spacing w:after="0"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color w:val="auto"/>
          <w:sz w:val="32"/>
          <w:szCs w:val="32"/>
          <w:lang w:val="en-US" w:eastAsia="zh-CN"/>
        </w:rPr>
        <w:t>北京</w:t>
      </w:r>
      <w:r>
        <w:rPr>
          <w:rFonts w:hint="eastAsia" w:ascii="仿宋_GB2312" w:hAnsi="仿宋_GB2312" w:eastAsia="仿宋_GB2312" w:cs="仿宋_GB2312"/>
          <w:color w:val="auto"/>
          <w:sz w:val="32"/>
          <w:szCs w:val="32"/>
        </w:rPr>
        <w:t>市知识产权局组织项目复审与审议</w:t>
      </w:r>
      <w:r>
        <w:rPr>
          <w:rFonts w:hint="eastAsia" w:ascii="仿宋_GB2312" w:hAnsi="仿宋_GB2312" w:eastAsia="仿宋_GB2312" w:cs="仿宋_GB2312"/>
          <w:color w:val="auto"/>
          <w:sz w:val="32"/>
          <w:szCs w:val="32"/>
          <w:lang w:eastAsia="zh-CN"/>
        </w:rPr>
        <w:t>，确定拟扶持名单</w:t>
      </w:r>
      <w:r>
        <w:rPr>
          <w:rFonts w:hint="eastAsia" w:ascii="仿宋_GB2312" w:hAnsi="仿宋_GB2312" w:eastAsia="仿宋_GB2312" w:cs="仿宋_GB2312"/>
          <w:color w:val="auto"/>
          <w:sz w:val="32"/>
          <w:szCs w:val="32"/>
        </w:rPr>
        <w:t>。</w:t>
      </w:r>
    </w:p>
    <w:p w14:paraId="1D6E5D48">
      <w:pPr>
        <w:pStyle w:val="3"/>
        <w:keepNext w:val="0"/>
        <w:keepLines w:val="0"/>
        <w:pageBreakBefore w:val="0"/>
        <w:kinsoku/>
        <w:wordWrap/>
        <w:overflowPunct/>
        <w:autoSpaceDE/>
        <w:autoSpaceDN/>
        <w:bidi w:val="0"/>
        <w:adjustRightInd w:val="0"/>
        <w:snapToGrid w:val="0"/>
        <w:spacing w:after="0"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w:t>
      </w:r>
      <w:r>
        <w:rPr>
          <w:rFonts w:hint="eastAsia" w:ascii="仿宋_GB2312" w:hAnsi="仿宋_GB2312" w:eastAsia="仿宋_GB2312" w:cs="仿宋_GB2312"/>
          <w:color w:val="auto"/>
          <w:sz w:val="32"/>
          <w:szCs w:val="32"/>
          <w:lang w:val="en-US" w:eastAsia="zh-CN"/>
        </w:rPr>
        <w:t>北京市知识产权局将</w:t>
      </w:r>
      <w:r>
        <w:rPr>
          <w:rFonts w:hint="eastAsia" w:ascii="仿宋_GB2312" w:hAnsi="仿宋_GB2312" w:eastAsia="仿宋_GB2312" w:cs="仿宋_GB2312"/>
          <w:color w:val="auto"/>
          <w:sz w:val="32"/>
          <w:szCs w:val="32"/>
        </w:rPr>
        <w:t>拟扶持</w:t>
      </w:r>
      <w:r>
        <w:rPr>
          <w:rFonts w:hint="eastAsia" w:ascii="仿宋_GB2312" w:hAnsi="仿宋_GB2312" w:eastAsia="仿宋_GB2312" w:cs="仿宋_GB2312"/>
          <w:color w:val="auto"/>
          <w:sz w:val="32"/>
          <w:szCs w:val="32"/>
          <w:lang w:eastAsia="zh-CN"/>
        </w:rPr>
        <w:t>名单</w:t>
      </w:r>
      <w:r>
        <w:rPr>
          <w:rFonts w:hint="eastAsia" w:ascii="仿宋_GB2312" w:hAnsi="仿宋_GB2312" w:eastAsia="仿宋_GB2312" w:cs="仿宋_GB2312"/>
          <w:color w:val="auto"/>
          <w:sz w:val="32"/>
          <w:szCs w:val="32"/>
        </w:rPr>
        <w:t>在官方网站进行公示，公示期为5个工作日。</w:t>
      </w:r>
    </w:p>
    <w:p w14:paraId="5AA9D7C1">
      <w:pPr>
        <w:keepNext w:val="0"/>
        <w:keepLines w:val="0"/>
        <w:pageBreakBefore w:val="0"/>
        <w:kinsoku/>
        <w:wordWrap/>
        <w:overflowPunct/>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（五）公示无异议或异议不成立的，</w:t>
      </w:r>
      <w:r>
        <w:rPr>
          <w:rFonts w:hint="eastAsia" w:ascii="仿宋_GB2312" w:hAnsi="仿宋_GB2312" w:eastAsia="仿宋_GB2312" w:cs="仿宋_GB2312"/>
          <w:color w:val="auto"/>
          <w:sz w:val="32"/>
          <w:szCs w:val="32"/>
          <w:lang w:eastAsia="zh-CN"/>
        </w:rPr>
        <w:t>由</w:t>
      </w:r>
      <w:r>
        <w:rPr>
          <w:rFonts w:hint="eastAsia" w:ascii="仿宋_GB2312" w:hAnsi="仿宋_GB2312" w:eastAsia="仿宋_GB2312" w:cs="仿宋_GB2312"/>
          <w:color w:val="auto"/>
          <w:sz w:val="32"/>
          <w:szCs w:val="32"/>
          <w:lang w:val="en-US" w:eastAsia="zh-CN"/>
        </w:rPr>
        <w:t>北京</w:t>
      </w:r>
      <w:r>
        <w:rPr>
          <w:rFonts w:hint="eastAsia" w:ascii="仿宋_GB2312" w:hAnsi="仿宋_GB2312" w:eastAsia="仿宋_GB2312" w:cs="仿宋_GB2312"/>
          <w:color w:val="auto"/>
          <w:sz w:val="32"/>
          <w:szCs w:val="32"/>
          <w:lang w:eastAsia="zh-CN"/>
        </w:rPr>
        <w:t>市知识产权局</w:t>
      </w:r>
      <w:r>
        <w:rPr>
          <w:rFonts w:hint="eastAsia" w:ascii="仿宋_GB2312" w:hAnsi="仿宋_GB2312" w:eastAsia="仿宋_GB2312" w:cs="仿宋_GB2312"/>
          <w:color w:val="auto"/>
          <w:sz w:val="32"/>
          <w:szCs w:val="32"/>
        </w:rPr>
        <w:t>按照</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规定拨付</w:t>
      </w:r>
      <w:r>
        <w:rPr>
          <w:rFonts w:hint="eastAsia" w:ascii="仿宋_GB2312" w:hAnsi="仿宋_GB2312" w:eastAsia="仿宋_GB2312" w:cs="仿宋_GB2312"/>
          <w:color w:val="auto"/>
          <w:sz w:val="32"/>
          <w:szCs w:val="32"/>
          <w:lang w:eastAsia="zh-CN"/>
        </w:rPr>
        <w:t>扶持</w:t>
      </w:r>
      <w:r>
        <w:rPr>
          <w:rFonts w:hint="eastAsia" w:ascii="仿宋_GB2312" w:hAnsi="仿宋_GB2312" w:eastAsia="仿宋_GB2312" w:cs="仿宋_GB2312"/>
          <w:color w:val="auto"/>
          <w:sz w:val="32"/>
          <w:szCs w:val="32"/>
        </w:rPr>
        <w:t>资金。</w:t>
      </w:r>
    </w:p>
    <w:p w14:paraId="25ACBFE0">
      <w:pPr>
        <w:keepNext w:val="0"/>
        <w:keepLines w:val="0"/>
        <w:pageBreakBefore w:val="0"/>
        <w:kinsoku/>
        <w:wordWrap/>
        <w:overflowPunct/>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sz w:val="32"/>
          <w:szCs w:val="32"/>
        </w:rPr>
      </w:pPr>
    </w:p>
    <w:p w14:paraId="15A0D1A3">
      <w:pPr>
        <w:keepNext w:val="0"/>
        <w:keepLines w:val="0"/>
        <w:pageBreakBefore w:val="0"/>
        <w:numPr>
          <w:ilvl w:val="0"/>
          <w:numId w:val="0"/>
        </w:numPr>
        <w:kinsoku/>
        <w:wordWrap/>
        <w:overflowPunct/>
        <w:autoSpaceDE/>
        <w:autoSpaceDN/>
        <w:bidi w:val="0"/>
        <w:adjustRightInd w:val="0"/>
        <w:snapToGrid w:val="0"/>
        <w:spacing w:beforeAutospacing="0" w:afterAutospacing="0" w:line="560" w:lineRule="exact"/>
        <w:jc w:val="center"/>
        <w:textAlignment w:val="auto"/>
        <w:outlineLvl w:val="0"/>
        <w:rPr>
          <w:color w:val="auto"/>
          <w:sz w:val="32"/>
          <w:szCs w:val="32"/>
        </w:rPr>
      </w:pPr>
      <w:r>
        <w:rPr>
          <w:rFonts w:hint="eastAsia" w:ascii="黑体" w:hAnsi="黑体" w:eastAsia="黑体" w:cs="黑体"/>
          <w:color w:val="auto"/>
          <w:sz w:val="32"/>
          <w:szCs w:val="32"/>
          <w:lang w:eastAsia="zh-CN"/>
        </w:rPr>
        <w:t>第四章</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附则</w:t>
      </w:r>
    </w:p>
    <w:p w14:paraId="1439A7AE">
      <w:pPr>
        <w:keepNext w:val="0"/>
        <w:keepLines w:val="0"/>
        <w:pageBreakBefore w:val="0"/>
        <w:kinsoku/>
        <w:wordWrap/>
        <w:overflowPunct/>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第八条 本办法由北京市知识产权局负责解释。</w:t>
      </w:r>
    </w:p>
    <w:p w14:paraId="6FDD1119">
      <w:pPr>
        <w:pStyle w:val="4"/>
        <w:keepNext w:val="0"/>
        <w:keepLines w:val="0"/>
        <w:pageBreakBefore w:val="0"/>
        <w:kinsoku/>
        <w:wordWrap/>
        <w:overflowPunct/>
        <w:autoSpaceDE/>
        <w:autoSpaceDN/>
        <w:bidi w:val="0"/>
        <w:spacing w:line="560" w:lineRule="exact"/>
        <w:ind w:firstLine="640" w:firstLineChars="200"/>
        <w:jc w:val="both"/>
        <w:textAlignment w:val="auto"/>
        <w:rPr>
          <w:rFonts w:hint="eastAsia"/>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第九条 本办法自印发之日起施行，有效期5年，</w:t>
      </w:r>
      <w:r>
        <w:rPr>
          <w:rFonts w:hint="eastAsia" w:ascii="仿宋_GB2312" w:hAnsi="仿宋_GB2312" w:eastAsia="仿宋_GB2312" w:cs="仿宋_GB2312"/>
          <w:color w:val="auto"/>
          <w:sz w:val="32"/>
          <w:szCs w:val="32"/>
        </w:rPr>
        <w:t>《北京市企业海外知识产权预警项目管理办法》（京知局〔2018〕46号）、《北京市企业海外知识产权预警项目行业知识产权预警工作办法》（京知局〔2018〕289号）、《北京市海外知识产权维权援助资金管理办法（试行）》（京知局〔2025〕068号）和《北京市知识产权纠纷多元调解资金管理办法》（京知局〔2025〕047号）</w:t>
      </w:r>
      <w:r>
        <w:rPr>
          <w:rFonts w:hint="eastAsia" w:ascii="仿宋_GB2312" w:hAnsi="仿宋_GB2312" w:eastAsia="仿宋_GB2312" w:cs="仿宋_GB2312"/>
          <w:color w:val="auto"/>
          <w:kern w:val="2"/>
          <w:sz w:val="32"/>
          <w:szCs w:val="32"/>
          <w:lang w:val="en-US" w:eastAsia="zh-CN" w:bidi="ar-SA"/>
        </w:rPr>
        <w:t>同时废止。</w:t>
      </w:r>
      <w:r>
        <w:rPr>
          <w:rFonts w:hint="eastAsia" w:ascii="仿宋_GB2312" w:hAnsi="仿宋_GB2312" w:eastAsia="仿宋_GB2312" w:cs="仿宋_GB2312"/>
          <w:color w:val="auto"/>
          <w:sz w:val="32"/>
          <w:szCs w:val="32"/>
        </w:rPr>
        <w:t>北京市知识产权局原有关文件与本办法不一致的，以本办法为准。</w:t>
      </w:r>
    </w:p>
    <w:p w14:paraId="0920BB0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16FC6F-8652-4C1B-8FF8-68D2034A7B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0C48260-876D-4AD2-8E45-33623824DD98}"/>
  </w:font>
  <w:font w:name="方正仿宋_GBK">
    <w:altName w:val="微软雅黑"/>
    <w:panose1 w:val="02000000000000000000"/>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3" w:fontKey="{CF902B45-ABFF-497C-AF49-E7213366FF17}"/>
  </w:font>
  <w:font w:name="仿宋_GB2312">
    <w:panose1 w:val="02010609030101010101"/>
    <w:charset w:val="86"/>
    <w:family w:val="modern"/>
    <w:pitch w:val="default"/>
    <w:sig w:usb0="00000001" w:usb1="080E0000" w:usb2="00000000" w:usb3="00000000" w:csb0="00040000" w:csb1="00000000"/>
    <w:embedRegular r:id="rId4" w:fontKey="{42BE7A7C-9AA7-4967-88D6-EF8645833986}"/>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4YzFhMGNiNWM4NTJmYjVlYjgyODg0ZDA5YWE1YTMifQ=="/>
  </w:docVars>
  <w:rsids>
    <w:rsidRoot w:val="7CB856D5"/>
    <w:rsid w:val="7CB85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rPr>
      <w:rFonts w:ascii="Times New Roman" w:hAnsi="Times New Roman" w:eastAsia="方正仿宋_GBK"/>
      <w:sz w:val="32"/>
    </w:rPr>
  </w:style>
  <w:style w:type="paragraph" w:styleId="4">
    <w:name w:val="Plain Text"/>
    <w:basedOn w:val="1"/>
    <w:next w:val="1"/>
    <w:qFormat/>
    <w:uiPriority w:val="0"/>
    <w:pPr>
      <w:widowControl/>
      <w:spacing w:line="240" w:lineRule="auto"/>
      <w:ind w:firstLine="0" w:firstLineChars="0"/>
      <w:jc w:val="left"/>
    </w:pPr>
    <w:rPr>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2026-11-03T02:56:00Z</dcterms:created>
  <dc:creator>孙彤</dc:creator>
  <cp:lastModifiedBy>孙彤</cp:lastModifiedBy>
  <dcterms:modified xsi:type="dcterms:W3CDTF">2026-11-03T02:57:12Z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2F0DA8211DD9474397C8725C8F0B2BB0_11</vt:lpwstr>
  </property>
</Properties>
</file>