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6B56B9">
      <w:pPr>
        <w:adjustRightInd w:val="0"/>
        <w:snapToGrid w:val="0"/>
        <w:spacing w:afterLines="0" w:line="600" w:lineRule="exact"/>
        <w:jc w:val="left"/>
        <w:rPr>
          <w:rFonts w:hint="eastAsia" w:ascii="黑体" w:hAnsi="黑体" w:eastAsia="黑体" w:cs="黑体"/>
          <w:spacing w:val="-6"/>
          <w:w w:val="100"/>
          <w:sz w:val="32"/>
          <w:szCs w:val="32"/>
          <w:lang w:val="en-US" w:eastAsia="zh-CN"/>
        </w:rPr>
      </w:pPr>
      <w:r>
        <w:rPr>
          <w:rFonts w:hint="eastAsia" w:ascii="黑体" w:hAnsi="黑体" w:eastAsia="黑体" w:cs="黑体"/>
          <w:spacing w:val="-6"/>
          <w:w w:val="100"/>
          <w:sz w:val="32"/>
          <w:szCs w:val="32"/>
          <w:lang w:val="en-US" w:eastAsia="zh-CN"/>
        </w:rPr>
        <w:t>附件2</w:t>
      </w:r>
    </w:p>
    <w:p w14:paraId="357E7020">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方正小标宋简体" w:eastAsia="方正小标宋简体" w:cs="方正小标宋简体"/>
          <w:sz w:val="44"/>
          <w:szCs w:val="44"/>
          <w:lang w:val="en-US" w:eastAsia="zh-CN"/>
        </w:rPr>
      </w:pPr>
      <w:bookmarkStart w:id="1" w:name="_GoBack"/>
      <w:r>
        <w:rPr>
          <w:rFonts w:hint="eastAsia" w:ascii="方正小标宋简体" w:hAnsi="宋体" w:eastAsia="方正小标宋简体" w:cs="Times New Roman"/>
          <w:spacing w:val="-11"/>
          <w:kern w:val="2"/>
          <w:sz w:val="44"/>
          <w:szCs w:val="44"/>
          <w:lang w:eastAsia="zh-CN"/>
        </w:rPr>
        <w:t>《</w:t>
      </w:r>
      <w:r>
        <w:rPr>
          <w:rFonts w:hint="eastAsia" w:ascii="方正小标宋简体" w:hAnsi="方正小标宋简体" w:eastAsia="方正小标宋简体" w:cs="方正小标宋简体"/>
          <w:sz w:val="44"/>
          <w:szCs w:val="44"/>
          <w:lang w:val="en-US" w:eastAsia="zh-CN"/>
        </w:rPr>
        <w:t>关于调整北京市狂犬病人免疫球蛋白和抗狂犬病病毒单克隆抗体采购模式的通知</w:t>
      </w:r>
    </w:p>
    <w:p w14:paraId="390E2A1E">
      <w:pPr>
        <w:keepNext w:val="0"/>
        <w:keepLines w:val="0"/>
        <w:pageBreakBefore w:val="0"/>
        <w:widowControl w:val="0"/>
        <w:kinsoku/>
        <w:wordWrap/>
        <w:overflowPunct/>
        <w:topLinePunct w:val="0"/>
        <w:autoSpaceDE/>
        <w:autoSpaceDN/>
        <w:bidi w:val="0"/>
        <w:adjustRightInd w:val="0"/>
        <w:snapToGrid w:val="0"/>
        <w:spacing w:line="580" w:lineRule="exact"/>
        <w:jc w:val="center"/>
        <w:textAlignment w:val="auto"/>
        <w:rPr>
          <w:rFonts w:hint="eastAsia" w:ascii="方正小标宋简体" w:hAnsi="宋体" w:eastAsia="方正小标宋简体" w:cs="Times New Roman"/>
          <w:kern w:val="2"/>
          <w:sz w:val="44"/>
          <w:szCs w:val="44"/>
          <w:lang w:eastAsia="zh-CN"/>
        </w:rPr>
      </w:pPr>
      <w:r>
        <w:rPr>
          <w:rFonts w:hint="eastAsia" w:ascii="方正小标宋简体" w:hAnsi="方正小标宋简体" w:eastAsia="方正小标宋简体" w:cs="方正小标宋简体"/>
          <w:sz w:val="44"/>
          <w:szCs w:val="44"/>
          <w:lang w:val="en-US" w:eastAsia="zh-CN"/>
        </w:rPr>
        <w:t>（征求意见稿）</w:t>
      </w:r>
      <w:r>
        <w:rPr>
          <w:rFonts w:hint="eastAsia" w:ascii="方正小标宋简体" w:hAnsi="宋体" w:eastAsia="方正小标宋简体" w:cs="Times New Roman"/>
          <w:kern w:val="2"/>
          <w:sz w:val="44"/>
          <w:szCs w:val="44"/>
          <w:lang w:eastAsia="zh-CN"/>
        </w:rPr>
        <w:t>》的起草说明</w:t>
      </w:r>
    </w:p>
    <w:bookmarkEnd w:id="1"/>
    <w:p w14:paraId="436A3457">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p>
    <w:p w14:paraId="7FEAC5E7">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sz w:val="32"/>
          <w:szCs w:val="32"/>
        </w:rPr>
        <w:t>为全面落实</w:t>
      </w:r>
      <w:r>
        <w:rPr>
          <w:rFonts w:hint="eastAsia" w:ascii="仿宋_GB2312" w:hAnsi="仿宋_GB2312" w:eastAsia="仿宋_GB2312" w:cs="仿宋_GB2312"/>
          <w:sz w:val="32"/>
          <w:szCs w:val="32"/>
          <w:lang w:val="en-US" w:eastAsia="zh-CN"/>
        </w:rPr>
        <w:t>《中华人民共和国药品管理法》《中华人民共和国疫苗管理法》</w:t>
      </w:r>
      <w:r>
        <w:rPr>
          <w:rFonts w:hint="eastAsia" w:ascii="仿宋_GB2312" w:hAnsi="仿宋_GB2312" w:eastAsia="仿宋_GB2312" w:cs="Times New Roman"/>
          <w:b w:val="0"/>
          <w:bCs w:val="0"/>
          <w:color w:val="auto"/>
          <w:sz w:val="32"/>
          <w:highlight w:val="none"/>
          <w:lang w:val="en-US" w:eastAsia="zh-CN"/>
        </w:rPr>
        <w:t>及本市药品阳光采购管理相关规定</w:t>
      </w:r>
      <w:r>
        <w:rPr>
          <w:rFonts w:hint="eastAsia" w:ascii="仿宋_GB2312" w:hAnsi="仿宋_GB2312" w:eastAsia="仿宋_GB2312" w:cs="仿宋_GB2312"/>
          <w:sz w:val="32"/>
          <w:szCs w:val="32"/>
        </w:rPr>
        <w:t>，进一步</w:t>
      </w:r>
      <w:r>
        <w:rPr>
          <w:rFonts w:hint="eastAsia" w:ascii="仿宋_GB2312" w:hAnsi="仿宋_GB2312" w:eastAsia="仿宋_GB2312" w:cs="仿宋_GB2312"/>
          <w:sz w:val="32"/>
          <w:szCs w:val="32"/>
          <w:lang w:val="en-US" w:eastAsia="zh-CN"/>
        </w:rPr>
        <w:t>做好我市狂犬病暴露预防处置门诊使用的狂犬病人免疫球蛋白和抗狂犬病病毒单克隆抗体供应保障工作，我局起草了《关于调整北京市狂犬病人免疫球蛋白和抗狂犬病病毒单克隆抗体采购模式的通知（</w:t>
      </w:r>
      <w:r>
        <w:rPr>
          <w:rFonts w:hint="eastAsia" w:ascii="仿宋_GB2312" w:hAnsi="仿宋_GB2312" w:eastAsia="仿宋_GB2312" w:cs="Times New Roman"/>
          <w:b w:val="0"/>
          <w:bCs w:val="0"/>
          <w:color w:val="auto"/>
          <w:sz w:val="32"/>
          <w:highlight w:val="none"/>
          <w:lang w:val="en-US" w:eastAsia="zh-CN"/>
        </w:rPr>
        <w:t>征求意见稿）</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（以下简称《通知》）。</w:t>
      </w:r>
      <w:r>
        <w:rPr>
          <w:rFonts w:hint="eastAsia" w:ascii="仿宋_GB2312" w:hAnsi="仿宋_GB2312" w:eastAsia="仿宋_GB2312" w:cs="仿宋_GB2312"/>
          <w:i w:val="0"/>
          <w:iCs w:val="0"/>
          <w:caps w:val="0"/>
          <w:color w:val="000000"/>
          <w:spacing w:val="0"/>
          <w:kern w:val="0"/>
          <w:sz w:val="32"/>
          <w:szCs w:val="32"/>
          <w:shd w:val="clear" w:color="auto" w:fill="FFFFFF"/>
          <w:lang w:val="en-US" w:eastAsia="zh-CN" w:bidi="ar"/>
        </w:rPr>
        <w:t>现将有关起草情况说明如下：</w:t>
      </w:r>
    </w:p>
    <w:p w14:paraId="651CF25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黑体" w:hAnsi="黑体" w:eastAsia="黑体" w:cs="FZFSK--GBK1-0"/>
          <w:kern w:val="0"/>
          <w:sz w:val="32"/>
          <w:szCs w:val="32"/>
          <w:highlight w:val="none"/>
          <w:lang w:val="en-US" w:eastAsia="zh-CN"/>
        </w:rPr>
      </w:pPr>
      <w:r>
        <w:rPr>
          <w:rFonts w:hint="eastAsia" w:ascii="黑体" w:hAnsi="黑体" w:eastAsia="黑体" w:cs="FZFSK--GBK1-0"/>
          <w:kern w:val="0"/>
          <w:sz w:val="32"/>
          <w:szCs w:val="32"/>
          <w:highlight w:val="none"/>
          <w:lang w:val="en-US" w:eastAsia="zh-CN"/>
        </w:rPr>
        <w:t>一、起草背景</w:t>
      </w:r>
    </w:p>
    <w:p w14:paraId="1BEDD73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狂犬病是致死率极高的重大传染病，规范开展狂犬病暴露预防处置是我市公共卫生防控的重点工作。长期以来，我市狂犬门诊使用的狂犬病人免疫球蛋白和抗狂犬病病毒单克隆抗体（以下简称狂犬被动免疫制剂），由市卫生健康委负责招标、市疾控中心统一采购配送，该模式在特定阶段有效保障了临床用药需求。随着本市药品阳光采购制度的不断完善，现有统一采购配送模式已与全市药品常态化阳光采购管理体系不相适配。为深化药品采购领域改革，落实规范化、市场化药品采购管理要求，进一步理顺采购管理职责，提升药品采购效率与供应保障能力，同时持续稳固狂犬病防控工作成效，市疾控局会同市卫生健康委、市医保局，认真研究，广泛征求意见，起草了《通知》。</w:t>
      </w:r>
    </w:p>
    <w:p w14:paraId="066D188B">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黑体" w:hAnsi="黑体" w:eastAsia="黑体" w:cs="FZFSK--GBK1-0"/>
          <w:kern w:val="0"/>
          <w:sz w:val="32"/>
          <w:szCs w:val="32"/>
          <w:highlight w:val="none"/>
          <w:lang w:val="en-US" w:eastAsia="zh-CN"/>
        </w:rPr>
      </w:pPr>
      <w:r>
        <w:rPr>
          <w:rFonts w:hint="eastAsia" w:ascii="黑体" w:hAnsi="黑体" w:eastAsia="黑体" w:cs="FZFSK--GBK1-0"/>
          <w:kern w:val="0"/>
          <w:sz w:val="32"/>
          <w:szCs w:val="32"/>
          <w:highlight w:val="none"/>
          <w:lang w:val="en-US" w:eastAsia="zh-CN"/>
        </w:rPr>
        <w:t>二、起草工作过程</w:t>
      </w:r>
    </w:p>
    <w:p w14:paraId="400A241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left="0" w:leftChars="0" w:firstLine="640" w:firstLineChars="200"/>
        <w:jc w:val="both"/>
        <w:textAlignment w:val="auto"/>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为切实落实</w:t>
      </w:r>
      <w:r>
        <w:rPr>
          <w:rFonts w:hint="eastAsia" w:ascii="仿宋_GB2312" w:hAnsi="仿宋_GB2312" w:eastAsia="仿宋_GB2312" w:cs="仿宋_GB2312"/>
          <w:sz w:val="32"/>
          <w:szCs w:val="32"/>
          <w:lang w:val="en-US" w:eastAsia="zh-CN"/>
        </w:rPr>
        <w:t>《中华人民共和国药品管理法》《中华人民共和国疫苗管理法</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Times New Roman"/>
          <w:b w:val="0"/>
          <w:bCs w:val="0"/>
          <w:color w:val="auto"/>
          <w:sz w:val="32"/>
          <w:highlight w:val="none"/>
          <w:lang w:val="en-US" w:eastAsia="zh-CN"/>
        </w:rPr>
        <w:t>及本市药品阳光采购管理相关规定</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，规范狂犬被动免疫制剂采购工作，保障政策平稳落地，我局高度重视，</w:t>
      </w:r>
      <w:r>
        <w:rPr>
          <w:rFonts w:hint="eastAsia" w:ascii="仿宋_GB2312" w:hAnsi="仿宋_GB2312" w:eastAsia="仿宋_GB2312" w:cs="仿宋_GB2312"/>
          <w:kern w:val="2"/>
          <w:sz w:val="32"/>
          <w:szCs w:val="32"/>
          <w:highlight w:val="none"/>
          <w:lang w:val="en-US" w:eastAsia="zh-CN"/>
        </w:rPr>
        <w:t>结合我市实际情</w:t>
      </w:r>
      <w:r>
        <w:rPr>
          <w:rFonts w:hint="eastAsia" w:ascii="仿宋_GB2312" w:hAnsi="仿宋_GB2312" w:eastAsia="仿宋_GB2312" w:cs="仿宋_GB2312"/>
          <w:i w:val="0"/>
          <w:iCs w:val="0"/>
          <w:caps w:val="0"/>
          <w:color w:val="000000"/>
          <w:spacing w:val="0"/>
          <w:kern w:val="0"/>
          <w:sz w:val="32"/>
          <w:szCs w:val="32"/>
          <w:highlight w:val="none"/>
          <w:shd w:val="clear" w:color="auto" w:fill="FFFFFF"/>
          <w:lang w:val="en-US" w:eastAsia="zh-CN" w:bidi="ar"/>
        </w:rPr>
        <w:t>况，牵头起草《通知》。2026年1月至7月，我局充分组织调研，召开2次专家研讨会，认真研究，在广泛听取疾控机构、医疗机构、医保部门等多方工作意见的基础上起草初稿。2026年7月，以书面方式征求了2个市级部门、16个区</w:t>
      </w:r>
      <w:r>
        <w:rPr>
          <w:rFonts w:hint="eastAsia" w:ascii="仿宋_GB2312" w:hAnsi="仿宋_GB2312" w:eastAsia="仿宋_GB2312" w:cs="仿宋_GB2312"/>
          <w:b w:val="0"/>
          <w:bCs w:val="0"/>
          <w:color w:val="auto"/>
          <w:kern w:val="0"/>
          <w:sz w:val="32"/>
          <w:szCs w:val="32"/>
          <w:highlight w:val="none"/>
          <w:u w:val="none"/>
          <w:lang w:val="en-US" w:eastAsia="zh-CN" w:bidi="ar-SA"/>
        </w:rPr>
        <w:t>疾控局、经开区社会事业局以及市疾控中心等单位的意见建议。对各方反馈的意见进行了细致梳理和充分吸纳，并达成了一致意见，形成了《通知》。</w:t>
      </w:r>
    </w:p>
    <w:p w14:paraId="02E4726F">
      <w:pPr>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firstLine="640" w:firstLineChars="200"/>
        <w:jc w:val="both"/>
        <w:textAlignment w:val="auto"/>
        <w:rPr>
          <w:rFonts w:hint="eastAsia" w:ascii="黑体" w:hAnsi="黑体" w:eastAsia="黑体" w:cs="FZFSK--GBK1-0"/>
          <w:kern w:val="0"/>
          <w:sz w:val="32"/>
          <w:szCs w:val="32"/>
          <w:highlight w:val="none"/>
          <w:lang w:val="en-US" w:eastAsia="zh-CN"/>
        </w:rPr>
      </w:pPr>
      <w:r>
        <w:rPr>
          <w:rFonts w:hint="eastAsia" w:ascii="黑体" w:hAnsi="黑体" w:eastAsia="黑体" w:cs="FZFSK--GBK1-0"/>
          <w:kern w:val="0"/>
          <w:sz w:val="32"/>
          <w:szCs w:val="32"/>
          <w:highlight w:val="none"/>
          <w:lang w:val="en-US" w:eastAsia="zh-CN"/>
        </w:rPr>
        <w:t>三、主要内容</w:t>
      </w:r>
    </w:p>
    <w:p w14:paraId="1356D8A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30"/>
        <w:jc w:val="both"/>
        <w:textAlignment w:val="auto"/>
        <w:outlineLvl w:val="9"/>
        <w:rPr>
          <w:rFonts w:hint="eastAsia" w:ascii="仿宋_GB2312" w:hAnsi="Calibri" w:eastAsia="仿宋_GB2312" w:cs="仿宋_GB2312"/>
          <w:i w:val="0"/>
          <w:caps w:val="0"/>
          <w:color w:val="000000"/>
          <w:spacing w:val="0"/>
          <w:kern w:val="0"/>
          <w:sz w:val="32"/>
          <w:szCs w:val="32"/>
          <w:highlight w:val="none"/>
          <w:lang w:val="en-US" w:eastAsia="zh-CN" w:bidi="ar"/>
        </w:rPr>
      </w:pPr>
      <w:bookmarkStart w:id="0" w:name="_Toc380267856_WPSOffice_Level1"/>
      <w:r>
        <w:rPr>
          <w:rFonts w:hint="eastAsia" w:ascii="仿宋_GB2312" w:hAnsi="Calibri" w:eastAsia="仿宋_GB2312" w:cs="仿宋_GB2312"/>
          <w:i w:val="0"/>
          <w:caps w:val="0"/>
          <w:color w:val="000000"/>
          <w:spacing w:val="0"/>
          <w:kern w:val="0"/>
          <w:sz w:val="32"/>
          <w:szCs w:val="32"/>
          <w:highlight w:val="none"/>
          <w:lang w:val="en-US" w:eastAsia="zh-CN" w:bidi="ar"/>
        </w:rPr>
        <w:t>《通知》主要包括主要包括</w:t>
      </w:r>
      <w:r>
        <w:rPr>
          <w:rFonts w:hint="eastAsia" w:ascii="仿宋_GB2312" w:eastAsia="仿宋_GB2312" w:cs="仿宋_GB2312"/>
          <w:i w:val="0"/>
          <w:caps w:val="0"/>
          <w:color w:val="000000"/>
          <w:spacing w:val="0"/>
          <w:kern w:val="0"/>
          <w:sz w:val="32"/>
          <w:szCs w:val="32"/>
          <w:highlight w:val="none"/>
          <w:lang w:val="en-US" w:eastAsia="zh-CN" w:bidi="ar"/>
        </w:rPr>
        <w:t>调整内容和范围、工作职责、工作要求</w:t>
      </w:r>
      <w:r>
        <w:rPr>
          <w:rFonts w:hint="eastAsia" w:ascii="仿宋_GB2312" w:hAnsi="Calibri" w:eastAsia="仿宋_GB2312" w:cs="仿宋_GB2312"/>
          <w:i w:val="0"/>
          <w:caps w:val="0"/>
          <w:color w:val="000000"/>
          <w:spacing w:val="0"/>
          <w:kern w:val="0"/>
          <w:sz w:val="32"/>
          <w:szCs w:val="32"/>
          <w:highlight w:val="none"/>
          <w:lang w:val="en-US" w:eastAsia="zh-CN" w:bidi="ar"/>
        </w:rPr>
        <w:t>等3个部分。</w:t>
      </w:r>
    </w:p>
    <w:p w14:paraId="2B70598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30"/>
        <w:jc w:val="both"/>
        <w:textAlignment w:val="auto"/>
        <w:outlineLvl w:val="9"/>
        <w:rPr>
          <w:rFonts w:hint="eastAsia" w:ascii="仿宋_GB2312" w:hAnsi="Calibri" w:eastAsia="仿宋_GB2312" w:cs="仿宋_GB2312"/>
          <w:i w:val="0"/>
          <w:caps w:val="0"/>
          <w:color w:val="000000"/>
          <w:spacing w:val="0"/>
          <w:kern w:val="0"/>
          <w:sz w:val="32"/>
          <w:szCs w:val="32"/>
          <w:highlight w:val="yellow"/>
          <w:lang w:val="en-US" w:eastAsia="zh-CN" w:bidi="ar"/>
        </w:rPr>
      </w:pPr>
      <w:r>
        <w:rPr>
          <w:rStyle w:val="8"/>
          <w:rFonts w:hint="eastAsia" w:ascii="楷体_GB2312" w:hAnsi="楷体_GB2312" w:eastAsia="楷体_GB2312" w:cs="楷体_GB2312"/>
          <w:b w:val="0"/>
          <w:bCs/>
          <w:i w:val="0"/>
          <w:caps w:val="0"/>
          <w:color w:val="000000"/>
          <w:spacing w:val="0"/>
          <w:kern w:val="0"/>
          <w:sz w:val="32"/>
          <w:szCs w:val="32"/>
          <w:highlight w:val="none"/>
          <w:lang w:val="en-US" w:eastAsia="zh-CN" w:bidi="ar"/>
        </w:rPr>
        <w:t>一是调整内容和范围。</w:t>
      </w:r>
      <w:r>
        <w:rPr>
          <w:rFonts w:hint="eastAsia" w:ascii="仿宋_GB2312" w:hAnsi="Calibri" w:eastAsia="仿宋_GB2312" w:cs="仿宋_GB2312"/>
          <w:i w:val="0"/>
          <w:caps w:val="0"/>
          <w:color w:val="000000"/>
          <w:spacing w:val="0"/>
          <w:kern w:val="0"/>
          <w:sz w:val="32"/>
          <w:szCs w:val="32"/>
          <w:highlight w:val="none"/>
          <w:lang w:val="en-US" w:eastAsia="zh-CN" w:bidi="ar"/>
        </w:rPr>
        <w:t>明确本次调整对象为全市狂犬病暴露预防处置门诊使用的狂犬被动免疫制剂，取消市卫生健康委、市疾控中心分别负责招标采购和统一配送的原有模式，改为由药品生产企业在本市阳光采购平台挂网、各狂犬门诊所在医疗机构按程序自主采购。同时科学设置过渡期，明确自文件下发之日起至2026年12月31日为政策过渡期，过渡期内原有采购配送渠道、价格保持不变，保障药品供应连续不断档。</w:t>
      </w:r>
    </w:p>
    <w:p w14:paraId="7A9784D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30"/>
        <w:jc w:val="both"/>
        <w:textAlignment w:val="auto"/>
        <w:outlineLvl w:val="9"/>
        <w:rPr>
          <w:rFonts w:hint="eastAsia" w:ascii="仿宋_GB2312" w:hAnsi="Calibri" w:eastAsia="仿宋_GB2312" w:cs="仿宋_GB2312"/>
          <w:b w:val="0"/>
          <w:bCs w:val="0"/>
          <w:i w:val="0"/>
          <w:caps w:val="0"/>
          <w:color w:val="000000"/>
          <w:spacing w:val="0"/>
          <w:kern w:val="0"/>
          <w:sz w:val="32"/>
          <w:szCs w:val="32"/>
          <w:highlight w:val="yellow"/>
          <w:lang w:val="en-US" w:eastAsia="zh-CN" w:bidi="ar"/>
        </w:rPr>
      </w:pPr>
      <w:r>
        <w:rPr>
          <w:rStyle w:val="8"/>
          <w:rFonts w:hint="eastAsia" w:ascii="楷体_GB2312" w:hAnsi="楷体_GB2312" w:eastAsia="楷体_GB2312" w:cs="楷体_GB2312"/>
          <w:b w:val="0"/>
          <w:bCs/>
          <w:i w:val="0"/>
          <w:caps w:val="0"/>
          <w:color w:val="000000"/>
          <w:spacing w:val="0"/>
          <w:kern w:val="0"/>
          <w:sz w:val="32"/>
          <w:szCs w:val="32"/>
          <w:highlight w:val="none"/>
          <w:lang w:val="en-US" w:eastAsia="zh-CN" w:bidi="ar"/>
        </w:rPr>
        <w:t>二是工作职责。</w:t>
      </w:r>
      <w:r>
        <w:rPr>
          <w:rFonts w:hint="eastAsia" w:ascii="仿宋_GB2312" w:hAnsi="Calibri" w:eastAsia="仿宋_GB2312" w:cs="仿宋_GB2312"/>
          <w:i w:val="0"/>
          <w:caps w:val="0"/>
          <w:color w:val="000000"/>
          <w:spacing w:val="0"/>
          <w:kern w:val="0"/>
          <w:sz w:val="32"/>
          <w:szCs w:val="32"/>
          <w:highlight w:val="none"/>
          <w:lang w:val="en-US" w:eastAsia="zh-CN" w:bidi="ar"/>
        </w:rPr>
        <w:t>结合各部门、各机构职能，明确疾控主管部门和卫生健康主管部门、医疗保障部门、疾病预防控制机构、医疗机构的四方工作责任，全方位压实各环节工作任务，保障采购模式调整工作权责清晰、衔接顺畅、落地有序。</w:t>
      </w:r>
    </w:p>
    <w:p w14:paraId="491F158A">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30"/>
        <w:jc w:val="both"/>
        <w:textAlignment w:val="auto"/>
        <w:outlineLvl w:val="9"/>
        <w:rPr>
          <w:rFonts w:hint="eastAsia" w:ascii="仿宋_GB2312" w:hAnsi="仿宋_GB2312" w:eastAsia="仿宋_GB2312" w:cs="仿宋_GB2312"/>
          <w:kern w:val="2"/>
          <w:sz w:val="32"/>
          <w:szCs w:val="32"/>
          <w:highlight w:val="yellow"/>
        </w:rPr>
      </w:pPr>
      <w:r>
        <w:rPr>
          <w:rStyle w:val="8"/>
          <w:rFonts w:hint="eastAsia" w:ascii="楷体_GB2312" w:hAnsi="楷体_GB2312" w:eastAsia="楷体_GB2312" w:cs="楷体_GB2312"/>
          <w:b w:val="0"/>
          <w:bCs/>
          <w:i w:val="0"/>
          <w:caps w:val="0"/>
          <w:color w:val="000000"/>
          <w:spacing w:val="0"/>
          <w:kern w:val="0"/>
          <w:sz w:val="32"/>
          <w:szCs w:val="32"/>
          <w:highlight w:val="none"/>
          <w:lang w:val="en-US" w:eastAsia="zh-CN" w:bidi="ar"/>
        </w:rPr>
        <w:t>三是工作要求。</w:t>
      </w:r>
      <w:r>
        <w:rPr>
          <w:rFonts w:hint="eastAsia" w:ascii="仿宋_GB2312" w:hAnsi="Calibri" w:eastAsia="仿宋_GB2312" w:cs="仿宋_GB2312"/>
          <w:i w:val="0"/>
          <w:caps w:val="0"/>
          <w:color w:val="000000"/>
          <w:spacing w:val="0"/>
          <w:kern w:val="0"/>
          <w:sz w:val="32"/>
          <w:szCs w:val="32"/>
          <w:highlight w:val="none"/>
          <w:lang w:val="en-US" w:eastAsia="zh-CN" w:bidi="ar"/>
        </w:rPr>
        <w:t>要求各区、各相关单位高度重视本次采购模式调整工作，强化组织领导、细化分工、统筹推进，做好日常监测和问题上报工作，确保调整工作平稳有序落地。</w:t>
      </w:r>
    </w:p>
    <w:bookmarkEnd w:id="0"/>
    <w:p w14:paraId="375297B4">
      <w:pPr>
        <w:rPr>
          <w:highlight w:val="yellow"/>
        </w:rPr>
      </w:pPr>
    </w:p>
    <w:p w14:paraId="1527DAAB">
      <w:pPr>
        <w:pStyle w:val="2"/>
        <w:rPr>
          <w:highlight w:val="yellow"/>
        </w:rPr>
      </w:pPr>
    </w:p>
    <w:p w14:paraId="3AC4BC7B">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30"/>
        <w:jc w:val="right"/>
        <w:textAlignment w:val="auto"/>
        <w:outlineLvl w:val="9"/>
        <w:rPr>
          <w:rFonts w:hint="eastAsia" w:ascii="仿宋_GB2312" w:hAnsi="Calibri" w:eastAsia="仿宋_GB2312" w:cs="仿宋_GB2312"/>
          <w:i w:val="0"/>
          <w:caps w:val="0"/>
          <w:color w:val="000000"/>
          <w:spacing w:val="0"/>
          <w:kern w:val="0"/>
          <w:sz w:val="32"/>
          <w:szCs w:val="32"/>
          <w:highlight w:val="none"/>
          <w:lang w:val="en-US" w:eastAsia="zh-CN" w:bidi="ar"/>
        </w:rPr>
      </w:pPr>
      <w:r>
        <w:rPr>
          <w:rFonts w:hint="eastAsia" w:ascii="仿宋_GB2312" w:hAnsi="Calibri" w:eastAsia="仿宋_GB2312" w:cs="仿宋_GB2312"/>
          <w:i w:val="0"/>
          <w:caps w:val="0"/>
          <w:color w:val="000000"/>
          <w:spacing w:val="0"/>
          <w:kern w:val="0"/>
          <w:sz w:val="32"/>
          <w:szCs w:val="32"/>
          <w:highlight w:val="none"/>
          <w:lang w:val="en-US" w:eastAsia="zh-CN" w:bidi="ar"/>
        </w:rPr>
        <w:t>北京市疾病预防控制局</w:t>
      </w:r>
    </w:p>
    <w:p w14:paraId="16FF61E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30"/>
        <w:jc w:val="right"/>
        <w:textAlignment w:val="auto"/>
        <w:outlineLvl w:val="9"/>
        <w:rPr>
          <w:rFonts w:hint="default" w:ascii="仿宋_GB2312" w:hAnsi="Calibri" w:eastAsia="仿宋_GB2312" w:cs="仿宋_GB2312"/>
          <w:i w:val="0"/>
          <w:caps w:val="0"/>
          <w:color w:val="000000"/>
          <w:spacing w:val="0"/>
          <w:kern w:val="0"/>
          <w:sz w:val="32"/>
          <w:szCs w:val="32"/>
          <w:highlight w:val="none"/>
          <w:lang w:val="en-US" w:eastAsia="zh-CN" w:bidi="ar"/>
        </w:rPr>
      </w:pPr>
      <w:r>
        <w:rPr>
          <w:rFonts w:hint="eastAsia" w:ascii="仿宋_GB2312" w:hAnsi="Calibri" w:eastAsia="仿宋_GB2312" w:cs="仿宋_GB2312"/>
          <w:i w:val="0"/>
          <w:caps w:val="0"/>
          <w:color w:val="000000"/>
          <w:spacing w:val="0"/>
          <w:kern w:val="0"/>
          <w:sz w:val="32"/>
          <w:szCs w:val="32"/>
          <w:highlight w:val="none"/>
          <w:lang w:val="en-US" w:eastAsia="zh-CN" w:bidi="ar"/>
        </w:rPr>
        <w:t>2026年9月17日</w:t>
      </w:r>
    </w:p>
    <w:p w14:paraId="61BF9420">
      <w:pPr>
        <w:pStyle w:val="2"/>
        <w:rPr>
          <w:rFonts w:hint="eastAsia"/>
        </w:rPr>
      </w:pPr>
    </w:p>
    <w:p w14:paraId="5C2E8D06"/>
    <w:sectPr>
      <w:pgSz w:w="11906" w:h="16838"/>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D8500F-0DB3-4828-9309-BF62140374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D0BC9CE-78EE-48C7-A9BB-4C5B50972F1B}"/>
  </w:font>
  <w:font w:name="方正小标宋简体">
    <w:panose1 w:val="02000000000000000000"/>
    <w:charset w:val="86"/>
    <w:family w:val="auto"/>
    <w:pitch w:val="default"/>
    <w:sig w:usb0="00000001" w:usb1="080E0000" w:usb2="00000000" w:usb3="00000000" w:csb0="00040000" w:csb1="00000000"/>
    <w:embedRegular r:id="rId3" w:fontKey="{57E6610B-837E-4DE3-A579-6397A66A1610}"/>
  </w:font>
  <w:font w:name="仿宋_GB2312">
    <w:panose1 w:val="02010609030101010101"/>
    <w:charset w:val="86"/>
    <w:family w:val="auto"/>
    <w:pitch w:val="default"/>
    <w:sig w:usb0="00000001" w:usb1="080E0000" w:usb2="00000000" w:usb3="00000000" w:csb0="00040000" w:csb1="00000000"/>
    <w:embedRegular r:id="rId4" w:fontKey="{E3421842-9234-4201-B975-E8F316401787}"/>
  </w:font>
  <w:font w:name="FZFSK--GBK1-0">
    <w:altName w:val="yyb"/>
    <w:panose1 w:val="02000000000000000000"/>
    <w:charset w:val="00"/>
    <w:family w:val="auto"/>
    <w:pitch w:val="default"/>
    <w:sig w:usb0="00000000" w:usb1="00000000" w:usb2="00082016" w:usb3="00000000" w:csb0="00040001" w:csb1="00000000"/>
    <w:embedRegular r:id="rId5" w:fontKey="{CD77AAE4-4932-4B32-AB52-47F808059735}"/>
  </w:font>
  <w:font w:name="楷体_GB2312">
    <w:panose1 w:val="02010609030101010101"/>
    <w:charset w:val="86"/>
    <w:family w:val="modern"/>
    <w:pitch w:val="default"/>
    <w:sig w:usb0="00000001" w:usb1="080E0000" w:usb2="00000000" w:usb3="00000000" w:csb0="00040000" w:csb1="00000000"/>
    <w:embedRegular r:id="rId6" w:fontKey="{9FBE9EDA-C556-4A21-93B6-ECE03B836850}"/>
  </w:font>
  <w:font w:name="yyb">
    <w:panose1 w:val="020B0200000000000000"/>
    <w:charset w:val="86"/>
    <w:family w:val="auto"/>
    <w:pitch w:val="default"/>
    <w:sig w:usb0="20000083" w:usb1="10000000" w:usb2="00000016" w:usb3="00000000" w:csb0="6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4YzFhMGNiNWM4NTJmYjVlYjgyODg0ZDA5YWE1YTMifQ=="/>
  </w:docVars>
  <w:rsids>
    <w:rsidRoot w:val="005D204B"/>
    <w:rsid w:val="005D2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spacing w:after="0"/>
      <w:ind w:firstLine="420" w:firstLineChars="200"/>
    </w:pPr>
    <w:rPr>
      <w:kern w:val="0"/>
      <w:sz w:val="20"/>
      <w:szCs w:val="21"/>
    </w:rPr>
  </w:style>
  <w:style w:type="paragraph" w:styleId="3">
    <w:name w:val="Body Text Indent"/>
    <w:basedOn w:val="1"/>
    <w:next w:val="1"/>
    <w:qFormat/>
    <w:uiPriority w:val="0"/>
    <w:pPr>
      <w:spacing w:after="120"/>
      <w:ind w:left="420" w:leftChars="200"/>
    </w:pPr>
  </w:style>
  <w:style w:type="paragraph" w:styleId="4">
    <w:name w:val="Normal Indent"/>
    <w:basedOn w:val="1"/>
    <w:qFormat/>
    <w:uiPriority w:val="0"/>
    <w:pPr>
      <w:ind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character" w:styleId="8">
    <w:name w:val="Strong"/>
    <w:basedOn w:val="7"/>
    <w:qFormat/>
    <w:uiPriority w:val="0"/>
    <w:rPr>
      <w:b/>
    </w:rPr>
  </w:style>
  <w:style w:type="paragraph" w:customStyle="1" w:styleId="9">
    <w:name w:val=" Char"/>
    <w:basedOn w:val="1"/>
    <w:qFormat/>
    <w:uiPriority w:val="0"/>
    <w:rPr>
      <w:rFonts w:ascii="宋体" w:hAnsi="宋体" w:cs="Courier New"/>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2026-09-17T06:02:00Z</dcterms:created>
  <dc:creator>孙彤</dc:creator>
  <cp:lastModifiedBy>孙彤</cp:lastModifiedBy>
  <dcterms:modified xsi:type="dcterms:W3CDTF">2026-09-17T06:03:05Z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01C9C0056B5D4AE3A34496F0909D51FA_11</vt:lpwstr>
  </property>
</Properties>
</file>