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34426">
      <w:pPr>
        <w:adjustRightInd w:val="0"/>
        <w:snapToGrid w:val="0"/>
        <w:spacing w:afterLines="0" w:line="600" w:lineRule="exact"/>
        <w:jc w:val="left"/>
        <w:rPr>
          <w:rFonts w:hint="eastAsia" w:ascii="黑体" w:hAnsi="黑体" w:eastAsia="黑体" w:cs="黑体"/>
          <w:spacing w:val="-6"/>
          <w:w w:val="100"/>
          <w:sz w:val="32"/>
          <w:szCs w:val="32"/>
          <w:lang w:val="en-US" w:eastAsia="zh-CN"/>
        </w:rPr>
      </w:pPr>
      <w:r>
        <w:rPr>
          <w:rFonts w:hint="eastAsia" w:ascii="黑体" w:hAnsi="黑体" w:eastAsia="黑体" w:cs="黑体"/>
          <w:spacing w:val="-6"/>
          <w:w w:val="100"/>
          <w:sz w:val="32"/>
          <w:szCs w:val="32"/>
          <w:lang w:val="en-US" w:eastAsia="zh-CN"/>
        </w:rPr>
        <w:t>附件1</w:t>
      </w:r>
    </w:p>
    <w:p w14:paraId="2A81B4BC">
      <w:pPr>
        <w:adjustRightInd w:val="0"/>
        <w:snapToGrid w:val="0"/>
        <w:spacing w:afterLines="0" w:line="600" w:lineRule="exact"/>
        <w:jc w:val="center"/>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spacing w:val="-6"/>
          <w:w w:val="100"/>
          <w:sz w:val="44"/>
          <w:szCs w:val="44"/>
          <w:lang w:val="en-US" w:eastAsia="zh-CN"/>
        </w:rPr>
        <w:t>北京市疾病预防控制局 北京市卫生健康委员会</w:t>
      </w:r>
      <w:r>
        <w:rPr>
          <w:rFonts w:hint="eastAsia" w:ascii="方正小标宋简体" w:hAnsi="方正小标宋简体" w:eastAsia="方正小标宋简体" w:cs="方正小标宋简体"/>
          <w:w w:val="100"/>
          <w:sz w:val="44"/>
          <w:szCs w:val="44"/>
          <w:lang w:val="en-US" w:eastAsia="zh-CN"/>
        </w:rPr>
        <w:t xml:space="preserve"> 北京市医疗保障局关于调整北京市狂犬病暴露预防处置门诊使用的人免疫球蛋</w:t>
      </w:r>
      <w:bookmarkStart w:id="0" w:name="_GoBack"/>
      <w:bookmarkEnd w:id="0"/>
      <w:r>
        <w:rPr>
          <w:rFonts w:hint="eastAsia" w:ascii="方正小标宋简体" w:hAnsi="方正小标宋简体" w:eastAsia="方正小标宋简体" w:cs="方正小标宋简体"/>
          <w:w w:val="100"/>
          <w:sz w:val="44"/>
          <w:szCs w:val="44"/>
          <w:lang w:val="en-US" w:eastAsia="zh-CN"/>
        </w:rPr>
        <w:t>白和抗狂犬病病毒单克隆抗体采购模式的通知（征求意见稿）</w:t>
      </w:r>
    </w:p>
    <w:p w14:paraId="0A5D3058">
      <w:pPr>
        <w:keepNext w:val="0"/>
        <w:keepLines w:val="0"/>
        <w:pageBreakBefore w:val="0"/>
        <w:widowControl w:val="0"/>
        <w:suppressLineNumbers w:val="0"/>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rPr>
      </w:pPr>
    </w:p>
    <w:p w14:paraId="2EB04C66">
      <w:pPr>
        <w:keepNext w:val="0"/>
        <w:keepLines w:val="0"/>
        <w:pageBreakBefore w:val="0"/>
        <w:widowControl w:val="0"/>
        <w:kinsoku/>
        <w:wordWrap/>
        <w:overflowPunct/>
        <w:topLinePunct w:val="0"/>
        <w:autoSpaceDE/>
        <w:autoSpaceDN/>
        <w:bidi w:val="0"/>
        <w:adjustRightInd w:val="0"/>
        <w:snapToGrid w:val="0"/>
        <w:spacing w:afterLines="0" w:line="560" w:lineRule="exac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各区疾控局、卫生健康委、医保局，北京经济技术开发区社会事业局，市疾控中心，各有关医疗机构：</w:t>
      </w:r>
    </w:p>
    <w:p w14:paraId="3A935C90">
      <w:pPr>
        <w:keepNext w:val="0"/>
        <w:keepLines w:val="0"/>
        <w:pageBreakBefore w:val="0"/>
        <w:widowControl w:val="0"/>
        <w:suppressLineNumbers w:val="0"/>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为做好我市</w:t>
      </w:r>
      <w:r>
        <w:rPr>
          <w:rFonts w:hint="eastAsia" w:ascii="仿宋_GB2312" w:hAnsi="仿宋_GB2312" w:eastAsia="仿宋_GB2312" w:cs="仿宋_GB2312"/>
          <w:color w:val="auto"/>
          <w:kern w:val="0"/>
          <w:sz w:val="32"/>
          <w:szCs w:val="32"/>
          <w:highlight w:val="none"/>
          <w:lang w:val="en-US" w:eastAsia="zh-CN" w:bidi="ar-SA"/>
        </w:rPr>
        <w:t>狂犬病暴露预防处置门诊</w:t>
      </w:r>
      <w:r>
        <w:rPr>
          <w:rFonts w:hint="eastAsia" w:ascii="仿宋_GB2312" w:hAnsi="仿宋_GB2312" w:eastAsia="仿宋_GB2312" w:cs="仿宋_GB2312"/>
          <w:kern w:val="0"/>
          <w:sz w:val="32"/>
          <w:szCs w:val="32"/>
          <w:highlight w:val="none"/>
          <w:lang w:val="en-US" w:eastAsia="zh-CN" w:bidi="ar-SA"/>
        </w:rPr>
        <w:t>（</w:t>
      </w:r>
      <w:r>
        <w:rPr>
          <w:rFonts w:hint="eastAsia" w:ascii="仿宋_GB2312" w:hAnsi="仿宋_GB2312" w:eastAsia="仿宋_GB2312" w:cs="仿宋_GB2312"/>
          <w:kern w:val="0"/>
          <w:sz w:val="32"/>
          <w:szCs w:val="32"/>
          <w:lang w:val="en-US" w:eastAsia="zh-CN"/>
        </w:rPr>
        <w:t>以下简称狂犬门诊</w:t>
      </w:r>
      <w:r>
        <w:rPr>
          <w:rFonts w:hint="eastAsia" w:ascii="仿宋_GB2312" w:hAnsi="仿宋_GB2312" w:eastAsia="仿宋_GB2312" w:cs="仿宋_GB2312"/>
          <w:kern w:val="0"/>
          <w:sz w:val="32"/>
          <w:szCs w:val="32"/>
          <w:highlight w:val="none"/>
          <w:lang w:val="en-US" w:eastAsia="zh-CN" w:bidi="ar-SA"/>
        </w:rPr>
        <w:t>）使用的</w:t>
      </w:r>
      <w:r>
        <w:rPr>
          <w:rFonts w:hint="eastAsia" w:ascii="仿宋_GB2312" w:hAnsi="仿宋_GB2312" w:eastAsia="仿宋_GB2312" w:cs="仿宋_GB2312"/>
          <w:kern w:val="0"/>
          <w:sz w:val="32"/>
          <w:szCs w:val="32"/>
          <w:lang w:val="en-US" w:eastAsia="zh-CN"/>
        </w:rPr>
        <w:t>狂犬病人免疫球蛋白和抗狂犬病病毒单克隆抗体（以下简称狂犬被动免疫制剂）供应保障工作，根据《《中华人民共和国药品管理法》《中华人民共和国疫苗管理法》及本市药品阳光采购管理相关规定，对本市</w:t>
      </w:r>
      <w:r>
        <w:rPr>
          <w:rFonts w:hint="eastAsia" w:ascii="仿宋_GB2312" w:hAnsi="仿宋_GB2312" w:eastAsia="仿宋_GB2312" w:cs="仿宋_GB2312"/>
          <w:kern w:val="0"/>
          <w:sz w:val="32"/>
          <w:szCs w:val="32"/>
          <w:lang w:val="en-US" w:eastAsia="zh-CN" w:bidi="ar-SA"/>
        </w:rPr>
        <w:t>狂犬门诊使用的</w:t>
      </w:r>
      <w:r>
        <w:rPr>
          <w:rFonts w:hint="eastAsia" w:ascii="仿宋_GB2312" w:hAnsi="仿宋_GB2312" w:eastAsia="仿宋_GB2312" w:cs="仿宋_GB2312"/>
          <w:kern w:val="0"/>
          <w:sz w:val="32"/>
          <w:szCs w:val="32"/>
          <w:lang w:val="en-US" w:eastAsia="zh-CN"/>
        </w:rPr>
        <w:t>狂犬被动免疫制剂采购模式进行优化调整。现将有关事项通知如下：</w:t>
      </w:r>
    </w:p>
    <w:p w14:paraId="79B2EE08">
      <w:pPr>
        <w:adjustRightInd w:val="0"/>
        <w:snapToGrid w:val="0"/>
        <w:spacing w:afterLines="0" w:line="560" w:lineRule="exact"/>
        <w:ind w:firstLine="640" w:firstLineChars="200"/>
        <w:rPr>
          <w:rFonts w:hint="eastAsia" w:ascii="黑体" w:hAnsi="Calibri" w:eastAsia="黑体" w:cs="宋体"/>
          <w:sz w:val="32"/>
          <w:szCs w:val="32"/>
          <w:u w:val="none"/>
          <w:lang w:val="en-US" w:eastAsia="zh-CN"/>
        </w:rPr>
      </w:pPr>
      <w:r>
        <w:rPr>
          <w:rFonts w:hint="eastAsia" w:ascii="黑体" w:hAnsi="Calibri" w:eastAsia="黑体" w:cs="宋体"/>
          <w:sz w:val="32"/>
          <w:szCs w:val="32"/>
          <w:u w:val="none"/>
          <w:lang w:val="en-US" w:eastAsia="zh-CN"/>
        </w:rPr>
        <w:t>一、调整内容</w:t>
      </w:r>
      <w:r>
        <w:rPr>
          <w:rFonts w:hint="eastAsia" w:ascii="黑体" w:eastAsia="黑体" w:cs="宋体"/>
          <w:sz w:val="32"/>
          <w:szCs w:val="32"/>
          <w:u w:val="none"/>
          <w:lang w:val="en-US" w:eastAsia="zh-CN"/>
        </w:rPr>
        <w:t>和范围</w:t>
      </w:r>
    </w:p>
    <w:p w14:paraId="692577A7">
      <w:pPr>
        <w:keepNext w:val="0"/>
        <w:keepLines w:val="0"/>
        <w:pageBreakBefore w:val="0"/>
        <w:widowControl w:val="0"/>
        <w:suppressLineNumbers w:val="0"/>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（一）本次调整工作仅涉及我市</w:t>
      </w:r>
      <w:r>
        <w:rPr>
          <w:rFonts w:hint="eastAsia" w:ascii="仿宋_GB2312" w:hAnsi="仿宋_GB2312" w:eastAsia="仿宋_GB2312" w:cs="仿宋_GB2312"/>
          <w:kern w:val="0"/>
          <w:sz w:val="32"/>
          <w:szCs w:val="32"/>
          <w:lang w:val="en-US" w:eastAsia="zh-CN" w:bidi="ar-SA"/>
        </w:rPr>
        <w:t>狂犬门诊使用的</w:t>
      </w:r>
      <w:r>
        <w:rPr>
          <w:rFonts w:hint="eastAsia" w:ascii="仿宋_GB2312" w:hAnsi="仿宋_GB2312" w:eastAsia="仿宋_GB2312" w:cs="仿宋_GB2312"/>
          <w:kern w:val="0"/>
          <w:sz w:val="32"/>
          <w:szCs w:val="32"/>
          <w:lang w:val="en-US" w:eastAsia="zh-CN"/>
        </w:rPr>
        <w:t>狂犬被动免疫制剂。调整后市卫生健康委、市疾控中心不再分别负责相关药品的招标采购和配送。各相关药品生产企业应按照我市药品阳光采购管理工作要求，在北京市药品和医用耗材招采管理子系统（以下简称“阳光采购平台”）进行挂网，各狂犬门诊所在医疗按照药品遴选程序自行采购。</w:t>
      </w:r>
    </w:p>
    <w:p w14:paraId="1DC64579">
      <w:pPr>
        <w:spacing w:line="560" w:lineRule="exact"/>
        <w:ind w:leftChars="0" w:firstLine="640"/>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（二）自本文下发之日起至2026年12月31日为过渡期，过渡期内原有采购配送渠道、采购销售价格原则上维持不变，市疾控中心确保过渡期内相关药品的临床供应不断档。</w:t>
      </w:r>
    </w:p>
    <w:p w14:paraId="0003A44D">
      <w:pPr>
        <w:adjustRightInd w:val="0"/>
        <w:snapToGrid w:val="0"/>
        <w:spacing w:afterLines="0" w:line="560" w:lineRule="exact"/>
        <w:ind w:firstLine="640" w:firstLineChars="200"/>
        <w:rPr>
          <w:rFonts w:hint="eastAsia" w:ascii="黑体" w:hAnsi="Calibri" w:eastAsia="黑体" w:cs="宋体"/>
          <w:sz w:val="32"/>
          <w:szCs w:val="32"/>
          <w:u w:val="none"/>
          <w:lang w:val="en-US" w:eastAsia="zh-CN"/>
        </w:rPr>
      </w:pPr>
      <w:r>
        <w:rPr>
          <w:rFonts w:hint="eastAsia" w:ascii="黑体" w:eastAsia="黑体" w:cs="宋体"/>
          <w:sz w:val="32"/>
          <w:szCs w:val="32"/>
          <w:u w:val="none"/>
          <w:lang w:val="en-US" w:eastAsia="zh-CN"/>
        </w:rPr>
        <w:t>二</w:t>
      </w:r>
      <w:r>
        <w:rPr>
          <w:rFonts w:hint="eastAsia" w:ascii="黑体" w:hAnsi="Calibri" w:eastAsia="黑体" w:cs="宋体"/>
          <w:sz w:val="32"/>
          <w:szCs w:val="32"/>
          <w:u w:val="none"/>
          <w:lang w:val="en-US" w:eastAsia="zh-CN"/>
        </w:rPr>
        <w:t>、工作职责</w:t>
      </w:r>
    </w:p>
    <w:p w14:paraId="60001429">
      <w:pPr>
        <w:keepNext w:val="0"/>
        <w:keepLines w:val="0"/>
        <w:pageBreakBefore w:val="0"/>
        <w:widowControl w:val="0"/>
        <w:suppressLineNumbers w:val="0"/>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rPr>
      </w:pPr>
      <w:r>
        <w:rPr>
          <w:rFonts w:hint="eastAsia" w:ascii="楷体_GB2312" w:hAnsi="楷体_GB2312" w:eastAsia="楷体_GB2312" w:cs="楷体_GB2312"/>
          <w:color w:val="000000"/>
          <w:sz w:val="32"/>
          <w:szCs w:val="32"/>
          <w:u w:val="none"/>
        </w:rPr>
        <w:t>（一）疾控主管部门和卫生健康主管部门。</w:t>
      </w:r>
      <w:r>
        <w:rPr>
          <w:rFonts w:hint="eastAsia" w:ascii="仿宋_GB2312" w:hAnsi="仿宋_GB2312" w:eastAsia="仿宋_GB2312" w:cs="仿宋_GB2312"/>
          <w:kern w:val="0"/>
          <w:sz w:val="32"/>
          <w:szCs w:val="32"/>
          <w:lang w:val="en-US" w:eastAsia="zh-CN"/>
        </w:rPr>
        <w:t>市疾控局统筹协调本次采购模式调整工作。市卫生健康委员会指导有关医疗机构按时完成药品采购工作。</w:t>
      </w:r>
    </w:p>
    <w:p w14:paraId="09510605">
      <w:pPr>
        <w:keepNext w:val="0"/>
        <w:keepLines w:val="0"/>
        <w:pageBreakBefore w:val="0"/>
        <w:widowControl w:val="0"/>
        <w:suppressLineNumbers w:val="0"/>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宋体"/>
          <w:sz w:val="32"/>
          <w:szCs w:val="32"/>
          <w:u w:val="none"/>
        </w:rPr>
        <w:t>各区疾控局、卫生健康委落实属地管理职责</w:t>
      </w:r>
      <w:r>
        <w:rPr>
          <w:rFonts w:hint="eastAsia" w:ascii="仿宋_GB2312" w:hAnsi="仿宋_GB2312" w:eastAsia="仿宋_GB2312" w:cs="宋体"/>
          <w:sz w:val="32"/>
          <w:szCs w:val="32"/>
          <w:u w:val="none"/>
          <w:lang w:eastAsia="zh-CN"/>
        </w:rPr>
        <w:t>，持续做好辖区内狂犬门诊管理工作。</w:t>
      </w:r>
      <w:r>
        <w:rPr>
          <w:rFonts w:hint="eastAsia" w:ascii="仿宋_GB2312" w:hAnsi="仿宋_GB2312" w:eastAsia="仿宋_GB2312" w:cs="宋体"/>
          <w:sz w:val="32"/>
          <w:szCs w:val="32"/>
          <w:u w:val="none"/>
        </w:rPr>
        <w:t>各区卫生健康委</w:t>
      </w:r>
      <w:r>
        <w:rPr>
          <w:rFonts w:hint="eastAsia" w:ascii="仿宋_GB2312" w:hAnsi="仿宋_GB2312" w:eastAsia="仿宋_GB2312" w:cs="仿宋_GB2312"/>
          <w:kern w:val="0"/>
          <w:sz w:val="32"/>
          <w:szCs w:val="32"/>
          <w:lang w:val="en-US" w:eastAsia="zh-CN"/>
        </w:rPr>
        <w:t>督促辖区内狂犬门诊所在医疗机构依法依规做好药品采购工作、使用，及时掌握各医疗机构采购进展情况，确保各狂犬门诊药品不断，处置动物致伤及时、有效</w:t>
      </w:r>
      <w:r>
        <w:rPr>
          <w:rFonts w:hint="eastAsia" w:ascii="仿宋_GB2312" w:hAnsi="仿宋_GB2312" w:eastAsia="仿宋_GB2312" w:cs="宋体"/>
          <w:sz w:val="32"/>
          <w:szCs w:val="32"/>
          <w:u w:val="none"/>
          <w:lang w:eastAsia="zh-CN"/>
        </w:rPr>
        <w:t>。</w:t>
      </w:r>
    </w:p>
    <w:p w14:paraId="284819CA">
      <w:pPr>
        <w:keepNext w:val="0"/>
        <w:keepLines w:val="0"/>
        <w:pageBreakBefore w:val="0"/>
        <w:widowControl w:val="0"/>
        <w:suppressLineNumbers w:val="0"/>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rPr>
      </w:pPr>
      <w:r>
        <w:rPr>
          <w:rFonts w:hint="eastAsia" w:ascii="楷体_GB2312" w:hAnsi="楷体_GB2312" w:eastAsia="楷体_GB2312" w:cs="楷体_GB2312"/>
          <w:color w:val="000000"/>
          <w:sz w:val="32"/>
          <w:szCs w:val="32"/>
          <w:u w:val="none"/>
        </w:rPr>
        <w:t>（二）医疗保障部门。</w:t>
      </w:r>
      <w:r>
        <w:rPr>
          <w:rFonts w:hint="eastAsia" w:ascii="仿宋_GB2312" w:hAnsi="仿宋_GB2312" w:eastAsia="仿宋_GB2312" w:cs="仿宋_GB2312"/>
          <w:color w:val="000000"/>
          <w:kern w:val="0"/>
          <w:sz w:val="32"/>
          <w:szCs w:val="32"/>
          <w:u w:val="none"/>
          <w:lang w:eastAsia="zh-CN"/>
        </w:rPr>
        <w:t>协助通知</w:t>
      </w:r>
      <w:r>
        <w:rPr>
          <w:rFonts w:hint="eastAsia" w:ascii="仿宋_GB2312" w:hAnsi="仿宋_GB2312" w:eastAsia="仿宋_GB2312" w:cs="仿宋_GB2312"/>
          <w:kern w:val="0"/>
          <w:sz w:val="32"/>
          <w:szCs w:val="32"/>
          <w:u w:val="none"/>
          <w:lang w:eastAsia="zh-CN"/>
        </w:rPr>
        <w:t>相关药品生产经营企业，并</w:t>
      </w:r>
      <w:r>
        <w:rPr>
          <w:rFonts w:hint="eastAsia" w:ascii="仿宋_GB2312" w:hAnsi="仿宋_GB2312" w:eastAsia="仿宋_GB2312" w:cs="仿宋_GB2312"/>
          <w:kern w:val="0"/>
          <w:sz w:val="32"/>
          <w:szCs w:val="32"/>
          <w:lang w:val="en-US" w:eastAsia="zh-CN"/>
        </w:rPr>
        <w:t>指导药品生产企业在平台完成挂网操作，做好挂网药品的价格监测和管理工作，确保采购价格公开透明。</w:t>
      </w:r>
    </w:p>
    <w:p w14:paraId="717EB457">
      <w:pPr>
        <w:keepNext w:val="0"/>
        <w:keepLines w:val="0"/>
        <w:pageBreakBefore w:val="0"/>
        <w:widowControl w:val="0"/>
        <w:suppressLineNumbers w:val="0"/>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（三）</w:t>
      </w:r>
      <w:r>
        <w:rPr>
          <w:rFonts w:hint="eastAsia" w:ascii="楷体_GB2312" w:hAnsi="楷体_GB2312" w:eastAsia="楷体_GB2312" w:cs="楷体_GB2312"/>
          <w:color w:val="000000"/>
          <w:sz w:val="32"/>
          <w:szCs w:val="32"/>
          <w:u w:val="none"/>
        </w:rPr>
        <w:t>疾病预防控制机构。</w:t>
      </w:r>
      <w:r>
        <w:rPr>
          <w:rFonts w:hint="eastAsia" w:ascii="仿宋_GB2312" w:hAnsi="仿宋_GB2312" w:eastAsia="仿宋_GB2312" w:cs="仿宋_GB2312"/>
          <w:kern w:val="0"/>
          <w:sz w:val="32"/>
          <w:szCs w:val="32"/>
          <w:lang w:val="en-US" w:eastAsia="zh-CN"/>
        </w:rPr>
        <w:t>市疾控中心做好采购模式调整过渡期的衔接工作，确保过渡期内原有采购配送任务的顺利完成，做好相关技术指导和业务培训。区疾控中心负责开展辖区狂犬门诊技术指导、业务培训，落实《狂犬病暴露预防处置工作规范(2023年版)》相关工作要求；开展狂犬病科普宣教，协同推进过渡期采购模式平稳衔接。</w:t>
      </w:r>
    </w:p>
    <w:p w14:paraId="65B7BC25">
      <w:pPr>
        <w:spacing w:line="560" w:lineRule="exact"/>
        <w:ind w:leftChars="0" w:firstLine="640" w:firstLineChars="200"/>
        <w:rPr>
          <w:rFonts w:hint="eastAsia" w:cs="仿宋_GB2312"/>
          <w:kern w:val="0"/>
          <w:sz w:val="32"/>
          <w:szCs w:val="32"/>
          <w:lang w:val="en-US" w:eastAsia="zh-CN"/>
        </w:rPr>
      </w:pPr>
      <w:r>
        <w:rPr>
          <w:rFonts w:hint="eastAsia" w:ascii="楷体_GB2312" w:hAnsi="楷体_GB2312" w:eastAsia="楷体_GB2312" w:cs="楷体_GB2312"/>
          <w:color w:val="000000"/>
          <w:sz w:val="32"/>
          <w:szCs w:val="32"/>
          <w:u w:val="none"/>
        </w:rPr>
        <w:t>（</w:t>
      </w:r>
      <w:r>
        <w:rPr>
          <w:rFonts w:hint="eastAsia" w:ascii="楷体_GB2312" w:hAnsi="楷体_GB2312" w:eastAsia="楷体_GB2312" w:cs="楷体_GB2312"/>
          <w:color w:val="000000"/>
          <w:sz w:val="32"/>
          <w:szCs w:val="32"/>
          <w:u w:val="none"/>
          <w:lang w:eastAsia="zh-CN"/>
        </w:rPr>
        <w:t>四</w:t>
      </w:r>
      <w:r>
        <w:rPr>
          <w:rFonts w:hint="eastAsia" w:ascii="楷体_GB2312" w:hAnsi="楷体_GB2312" w:eastAsia="楷体_GB2312" w:cs="楷体_GB2312"/>
          <w:color w:val="000000"/>
          <w:sz w:val="32"/>
          <w:szCs w:val="32"/>
          <w:u w:val="none"/>
        </w:rPr>
        <w:t>）医疗机构。</w:t>
      </w:r>
      <w:r>
        <w:rPr>
          <w:rFonts w:hint="eastAsia" w:ascii="仿宋_GB2312" w:hAnsi="仿宋_GB2312" w:eastAsia="仿宋_GB2312" w:cs="仿宋_GB2312"/>
          <w:kern w:val="0"/>
          <w:sz w:val="32"/>
          <w:szCs w:val="32"/>
          <w:lang w:val="en-US" w:eastAsia="zh-CN"/>
        </w:rPr>
        <w:t>各有关医疗机构须尽快召开药事会，按时完成狂犬被动免疫制剂的遴选和采购工作，确保狂犬门诊伤口处置药品的使用；对临床急需的可按照特事特办原则，通过临时采购或绿色通道方式先行保障临床供应。医疗机构采购的狂犬被动免疫制剂应在北京市免疫规划信息系统入库，并完成扫码接种。</w:t>
      </w:r>
    </w:p>
    <w:p w14:paraId="122938C5">
      <w:pPr>
        <w:adjustRightInd w:val="0"/>
        <w:snapToGrid w:val="0"/>
        <w:spacing w:afterLines="0" w:line="560" w:lineRule="exact"/>
        <w:ind w:firstLine="640" w:firstLineChars="200"/>
        <w:rPr>
          <w:rFonts w:hint="eastAsia" w:ascii="黑体" w:hAnsi="Calibri" w:eastAsia="黑体" w:cs="宋体"/>
          <w:sz w:val="32"/>
          <w:szCs w:val="32"/>
          <w:u w:val="none"/>
          <w:lang w:val="en-US" w:eastAsia="zh-CN"/>
        </w:rPr>
      </w:pPr>
      <w:r>
        <w:rPr>
          <w:rFonts w:hint="eastAsia" w:ascii="黑体" w:eastAsia="黑体" w:cs="宋体"/>
          <w:sz w:val="32"/>
          <w:szCs w:val="32"/>
          <w:u w:val="none"/>
          <w:lang w:val="en-US" w:eastAsia="zh-CN"/>
        </w:rPr>
        <w:t>三</w:t>
      </w:r>
      <w:r>
        <w:rPr>
          <w:rFonts w:hint="eastAsia" w:ascii="黑体" w:hAnsi="Calibri" w:eastAsia="黑体" w:cs="宋体"/>
          <w:sz w:val="32"/>
          <w:szCs w:val="32"/>
          <w:u w:val="none"/>
          <w:lang w:val="en-US" w:eastAsia="zh-CN"/>
        </w:rPr>
        <w:t>、工作要求</w:t>
      </w:r>
    </w:p>
    <w:p w14:paraId="452457C3">
      <w:pPr>
        <w:keepNext w:val="0"/>
        <w:keepLines w:val="0"/>
        <w:pageBreakBefore w:val="0"/>
        <w:widowControl/>
        <w:suppressLineNumbers w:val="0"/>
        <w:kinsoku/>
        <w:wordWrap/>
        <w:overflowPunct/>
        <w:topLinePunct w:val="0"/>
        <w:autoSpaceDE/>
        <w:autoSpaceDN/>
        <w:bidi w:val="0"/>
        <w:adjustRightInd w:val="0"/>
        <w:snapToGrid w:val="0"/>
        <w:spacing w:afterLines="0" w:line="560" w:lineRule="exact"/>
        <w:ind w:leftChars="0" w:right="0" w:rightChars="0" w:firstLine="640" w:firstLineChars="200"/>
        <w:jc w:val="left"/>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宋体"/>
          <w:sz w:val="32"/>
          <w:szCs w:val="32"/>
          <w:u w:val="none"/>
          <w:lang w:eastAsia="zh-CN"/>
        </w:rPr>
        <w:t>各区、各相关</w:t>
      </w:r>
      <w:r>
        <w:rPr>
          <w:rFonts w:hint="eastAsia" w:ascii="仿宋_GB2312" w:hAnsi="仿宋_GB2312" w:eastAsia="仿宋_GB2312" w:cs="宋体"/>
          <w:sz w:val="32"/>
          <w:szCs w:val="32"/>
          <w:u w:val="none"/>
        </w:rPr>
        <w:t>单位要</w:t>
      </w:r>
      <w:r>
        <w:rPr>
          <w:rFonts w:hint="eastAsia" w:ascii="仿宋_GB2312" w:hAnsi="仿宋_GB2312" w:eastAsia="仿宋_GB2312" w:cs="宋体"/>
          <w:sz w:val="32"/>
          <w:szCs w:val="32"/>
          <w:u w:val="none"/>
          <w:lang w:eastAsia="zh-CN"/>
        </w:rPr>
        <w:t>高度重视此次</w:t>
      </w:r>
      <w:r>
        <w:rPr>
          <w:rFonts w:hint="eastAsia" w:ascii="仿宋_GB2312" w:hAnsi="仿宋_GB2312" w:eastAsia="仿宋_GB2312" w:cs="仿宋_GB2312"/>
          <w:kern w:val="0"/>
          <w:sz w:val="32"/>
          <w:szCs w:val="32"/>
          <w:lang w:val="en-US" w:eastAsia="zh-CN" w:bidi="ar-SA"/>
        </w:rPr>
        <w:t>狂犬门诊使用的</w:t>
      </w:r>
      <w:r>
        <w:rPr>
          <w:rFonts w:hint="eastAsia" w:ascii="仿宋_GB2312" w:hAnsi="仿宋_GB2312" w:eastAsia="仿宋_GB2312" w:cs="仿宋_GB2312"/>
          <w:kern w:val="0"/>
          <w:sz w:val="32"/>
          <w:szCs w:val="32"/>
          <w:lang w:val="en-US" w:eastAsia="zh-CN"/>
        </w:rPr>
        <w:t>狂犬被动免疫制剂采购模式优化调整工作，加强组织领导，统筹安排，明确责任分工，确保调整工作平稳有序推进。</w:t>
      </w:r>
      <w:r>
        <w:rPr>
          <w:rFonts w:hint="eastAsia" w:ascii="仿宋_GB2312" w:hAnsi="仿宋_GB2312" w:eastAsia="仿宋_GB2312" w:cs="宋体"/>
          <w:sz w:val="32"/>
          <w:szCs w:val="32"/>
          <w:u w:val="none"/>
        </w:rPr>
        <w:t>同时，要</w:t>
      </w:r>
      <w:r>
        <w:rPr>
          <w:rFonts w:hint="eastAsia" w:ascii="仿宋_GB2312" w:hAnsi="仿宋_GB2312" w:eastAsia="仿宋_GB2312" w:cs="宋体"/>
          <w:sz w:val="32"/>
          <w:szCs w:val="32"/>
          <w:u w:val="none"/>
          <w:lang w:eastAsia="zh-CN"/>
        </w:rPr>
        <w:t>做好监测工作，</w:t>
      </w:r>
      <w:r>
        <w:rPr>
          <w:rFonts w:hint="eastAsia" w:ascii="仿宋_GB2312" w:hAnsi="仿宋_GB2312" w:eastAsia="仿宋_GB2312" w:cs="宋体"/>
          <w:sz w:val="32"/>
          <w:szCs w:val="32"/>
          <w:u w:val="none"/>
        </w:rPr>
        <w:t>发现问题及时上报，共同保障</w:t>
      </w:r>
      <w:r>
        <w:rPr>
          <w:rFonts w:hint="eastAsia" w:ascii="仿宋_GB2312" w:hAnsi="仿宋_GB2312" w:eastAsia="仿宋_GB2312" w:cs="宋体"/>
          <w:sz w:val="32"/>
          <w:szCs w:val="32"/>
          <w:u w:val="none"/>
          <w:lang w:eastAsia="zh-CN"/>
        </w:rPr>
        <w:t>居民</w:t>
      </w:r>
      <w:r>
        <w:rPr>
          <w:rFonts w:hint="eastAsia" w:ascii="仿宋_GB2312" w:hAnsi="仿宋_GB2312" w:eastAsia="仿宋_GB2312" w:cs="宋体"/>
          <w:sz w:val="32"/>
          <w:szCs w:val="32"/>
          <w:u w:val="none"/>
        </w:rPr>
        <w:t>健康安全</w:t>
      </w:r>
      <w:r>
        <w:rPr>
          <w:rFonts w:hint="eastAsia" w:ascii="仿宋_GB2312" w:hAnsi="仿宋_GB2312" w:eastAsia="仿宋_GB2312" w:cs="仿宋_GB2312"/>
          <w:kern w:val="0"/>
          <w:sz w:val="32"/>
          <w:szCs w:val="32"/>
          <w:lang w:val="en-US" w:eastAsia="zh-CN"/>
        </w:rPr>
        <w:t>。</w:t>
      </w:r>
    </w:p>
    <w:p w14:paraId="21B2088A">
      <w:pPr>
        <w:keepNext w:val="0"/>
        <w:keepLines w:val="0"/>
        <w:pageBreakBefore w:val="0"/>
        <w:widowControl w:val="0"/>
        <w:suppressLineNumbers w:val="0"/>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本通知自2027年1月1日起正式实施。原由市卫生健康委招标、市疾控中心统一采购配送的模式同时停止。</w:t>
      </w:r>
    </w:p>
    <w:p w14:paraId="2B1C7032">
      <w:pPr>
        <w:pStyle w:val="2"/>
        <w:rPr>
          <w:rFonts w:hint="eastAsia" w:ascii="仿宋_GB2312" w:hAnsi="仿宋_GB2312" w:eastAsia="仿宋_GB2312" w:cs="仿宋_GB2312"/>
          <w:kern w:val="0"/>
          <w:sz w:val="32"/>
          <w:szCs w:val="32"/>
          <w:lang w:val="en-US" w:eastAsia="zh-CN"/>
        </w:rPr>
      </w:pPr>
    </w:p>
    <w:p w14:paraId="636B5389">
      <w:pPr>
        <w:pStyle w:val="2"/>
        <w:rPr>
          <w:rFonts w:hint="eastAsia"/>
          <w:lang w:val="en-US" w:eastAsia="zh-CN"/>
        </w:rPr>
      </w:pPr>
    </w:p>
    <w:p w14:paraId="071E9632">
      <w:pPr>
        <w:keepNext w:val="0"/>
        <w:keepLines w:val="0"/>
        <w:pageBreakBefore w:val="0"/>
        <w:widowControl w:val="0"/>
        <w:kinsoku/>
        <w:wordWrap/>
        <w:overflowPunct/>
        <w:topLinePunct w:val="0"/>
        <w:autoSpaceDE/>
        <w:autoSpaceDN/>
        <w:bidi w:val="0"/>
        <w:adjustRightInd w:val="0"/>
        <w:snapToGrid w:val="0"/>
        <w:spacing w:afterLines="0" w:line="560" w:lineRule="exact"/>
        <w:ind w:firstLine="640" w:firstLineChars="200"/>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北京市疾病预防控制局</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北京市卫生健康委员会</w:t>
      </w:r>
    </w:p>
    <w:p w14:paraId="7CEA03F8">
      <w:pPr>
        <w:keepNext w:val="0"/>
        <w:keepLines w:val="0"/>
        <w:pageBreakBefore w:val="0"/>
        <w:widowControl w:val="0"/>
        <w:kinsoku/>
        <w:wordWrap/>
        <w:overflowPunct/>
        <w:topLinePunct w:val="0"/>
        <w:autoSpaceDE/>
        <w:autoSpaceDN/>
        <w:bidi w:val="0"/>
        <w:adjustRightInd w:val="0"/>
        <w:snapToGrid w:val="0"/>
        <w:spacing w:afterLines="0" w:line="560" w:lineRule="exact"/>
        <w:ind w:firstLine="640" w:firstLineChars="200"/>
        <w:jc w:val="both"/>
        <w:textAlignment w:val="auto"/>
        <w:outlineLvl w:val="9"/>
        <w:rPr>
          <w:rFonts w:hint="eastAsia" w:ascii="仿宋_GB2312" w:hAnsi="仿宋_GB2312" w:eastAsia="仿宋_GB2312" w:cs="仿宋_GB2312"/>
          <w:color w:val="000000"/>
          <w:sz w:val="32"/>
          <w:szCs w:val="32"/>
          <w:lang w:eastAsia="zh-CN"/>
        </w:rPr>
      </w:pPr>
    </w:p>
    <w:p w14:paraId="5E8395C7">
      <w:pPr>
        <w:keepNext w:val="0"/>
        <w:keepLines w:val="0"/>
        <w:pageBreakBefore w:val="0"/>
        <w:widowControl w:val="0"/>
        <w:kinsoku/>
        <w:wordWrap/>
        <w:overflowPunct/>
        <w:topLinePunct w:val="0"/>
        <w:autoSpaceDE/>
        <w:autoSpaceDN/>
        <w:bidi w:val="0"/>
        <w:adjustRightInd w:val="0"/>
        <w:snapToGrid w:val="0"/>
        <w:spacing w:afterLines="0" w:line="560" w:lineRule="exact"/>
        <w:ind w:firstLine="0" w:firstLineChars="0"/>
        <w:jc w:val="both"/>
        <w:textAlignment w:val="auto"/>
        <w:outlineLvl w:val="9"/>
        <w:rPr>
          <w:rFonts w:hint="eastAsia" w:ascii="仿宋_GB2312" w:hAnsi="仿宋_GB2312" w:eastAsia="仿宋_GB2312" w:cs="仿宋_GB2312"/>
          <w:color w:val="000000"/>
          <w:sz w:val="32"/>
          <w:szCs w:val="32"/>
          <w:lang w:eastAsia="zh-CN"/>
        </w:rPr>
      </w:pPr>
    </w:p>
    <w:p w14:paraId="2FB3C563">
      <w:pPr>
        <w:keepNext w:val="0"/>
        <w:keepLines w:val="0"/>
        <w:pageBreakBefore w:val="0"/>
        <w:widowControl w:val="0"/>
        <w:kinsoku/>
        <w:wordWrap/>
        <w:overflowPunct/>
        <w:topLinePunct w:val="0"/>
        <w:autoSpaceDE/>
        <w:autoSpaceDN/>
        <w:bidi w:val="0"/>
        <w:adjustRightInd w:val="0"/>
        <w:snapToGrid w:val="0"/>
        <w:spacing w:afterLines="0" w:line="560" w:lineRule="exact"/>
        <w:ind w:firstLine="3840" w:firstLineChars="12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北京市</w:t>
      </w:r>
      <w:r>
        <w:rPr>
          <w:rFonts w:hint="default" w:ascii="仿宋_GB2312" w:hAnsi="仿宋_GB2312" w:eastAsia="仿宋_GB2312" w:cs="仿宋_GB2312"/>
          <w:color w:val="000000"/>
          <w:sz w:val="32"/>
          <w:szCs w:val="32"/>
          <w:lang w:eastAsia="zh-CN"/>
        </w:rPr>
        <w:t>医疗保障</w:t>
      </w:r>
      <w:r>
        <w:rPr>
          <w:rFonts w:hint="eastAsia" w:ascii="仿宋_GB2312" w:hAnsi="仿宋_GB2312" w:eastAsia="仿宋_GB2312" w:cs="仿宋_GB2312"/>
          <w:color w:val="000000"/>
          <w:sz w:val="32"/>
          <w:szCs w:val="32"/>
          <w:lang w:eastAsia="zh-CN"/>
        </w:rPr>
        <w:t>局</w:t>
      </w:r>
    </w:p>
    <w:p w14:paraId="0E8D9F2F">
      <w:pPr>
        <w:keepNext w:val="0"/>
        <w:keepLines w:val="0"/>
        <w:pageBreakBefore w:val="0"/>
        <w:widowControl w:val="0"/>
        <w:kinsoku/>
        <w:wordWrap/>
        <w:overflowPunct/>
        <w:topLinePunct w:val="0"/>
        <w:autoSpaceDE/>
        <w:autoSpaceDN/>
        <w:bidi w:val="0"/>
        <w:adjustRightInd w:val="0"/>
        <w:snapToGrid w:val="0"/>
        <w:spacing w:afterLines="0" w:line="560" w:lineRule="exact"/>
        <w:ind w:firstLine="5673" w:firstLineChars="1773"/>
        <w:jc w:val="left"/>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年  月  日</w:t>
      </w:r>
    </w:p>
    <w:p w14:paraId="2FE3076B">
      <w:pPr>
        <w:pStyle w:val="2"/>
        <w:rPr>
          <w:rFonts w:hint="eastAsia" w:ascii="仿宋_GB2312" w:hAnsi="仿宋_GB2312" w:eastAsia="仿宋_GB2312" w:cs="仿宋_GB2312"/>
          <w:color w:val="000000"/>
          <w:sz w:val="32"/>
          <w:szCs w:val="32"/>
          <w:lang w:val="en-US" w:eastAsia="zh-CN"/>
        </w:rPr>
      </w:pPr>
    </w:p>
    <w:p w14:paraId="4FB93478">
      <w:pPr>
        <w:pStyle w:val="2"/>
        <w:rPr>
          <w:rFonts w:hint="eastAsia"/>
        </w:rPr>
        <w:sectPr>
          <w:footerReference r:id="rId3" w:type="default"/>
          <w:pgSz w:w="11906" w:h="16838"/>
          <w:pgMar w:top="2098" w:right="1474" w:bottom="1984" w:left="1587" w:header="851" w:footer="992" w:gutter="0"/>
          <w:pgNumType w:fmt="numberInDash"/>
          <w:cols w:space="720" w:num="1"/>
          <w:docGrid w:type="lines" w:linePitch="312" w:charSpace="0"/>
        </w:sectPr>
      </w:pPr>
    </w:p>
    <w:p w14:paraId="3C00331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C58524-C76C-4E8D-94D6-0F02E55EAE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08DDE97-E6D1-4A68-9CE0-051136F7D63C}"/>
  </w:font>
  <w:font w:name="方正小标宋简体">
    <w:panose1 w:val="02000000000000000000"/>
    <w:charset w:val="86"/>
    <w:family w:val="auto"/>
    <w:pitch w:val="default"/>
    <w:sig w:usb0="00000001" w:usb1="080E0000" w:usb2="00000000" w:usb3="00000000" w:csb0="00040000" w:csb1="00000000"/>
    <w:embedRegular r:id="rId3" w:fontKey="{301E2783-38FD-47B4-BF1B-C3FB84D139EF}"/>
  </w:font>
  <w:font w:name="仿宋_GB2312">
    <w:panose1 w:val="02010609030101010101"/>
    <w:charset w:val="86"/>
    <w:family w:val="auto"/>
    <w:pitch w:val="default"/>
    <w:sig w:usb0="00000001" w:usb1="080E0000" w:usb2="00000000" w:usb3="00000000" w:csb0="00040000" w:csb1="00000000"/>
    <w:embedRegular r:id="rId4" w:fontKey="{C01D7BE4-F5AD-4170-9BF1-1BA12BE9B828}"/>
  </w:font>
  <w:font w:name="楷体_GB2312">
    <w:panose1 w:val="02010609030101010101"/>
    <w:charset w:val="86"/>
    <w:family w:val="modern"/>
    <w:pitch w:val="default"/>
    <w:sig w:usb0="00000001" w:usb1="080E0000" w:usb2="00000000" w:usb3="00000000" w:csb0="00040000" w:csb1="00000000"/>
    <w:embedRegular r:id="rId5" w:fontKey="{77A20843-6343-44E1-93BD-457CF05B8D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92F2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4A6608F">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54A6608F">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4YzFhMGNiNWM4NTJmYjVlYjgyODg0ZDA5YWE1YTMifQ=="/>
  </w:docVars>
  <w:rsids>
    <w:rsidRoot w:val="08BF48A6"/>
    <w:rsid w:val="08BF4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after="0"/>
      <w:ind w:firstLine="420" w:firstLineChars="200"/>
    </w:pPr>
    <w:rPr>
      <w:kern w:val="0"/>
      <w:sz w:val="20"/>
      <w:szCs w:val="21"/>
    </w:rPr>
  </w:style>
  <w:style w:type="paragraph" w:styleId="3">
    <w:name w:val="Body Text Indent"/>
    <w:basedOn w:val="1"/>
    <w:next w:val="1"/>
    <w:qFormat/>
    <w:uiPriority w:val="0"/>
    <w:pPr>
      <w:spacing w:after="120"/>
      <w:ind w:left="420" w:leftChars="200"/>
    </w:pPr>
  </w:style>
  <w:style w:type="paragraph" w:styleId="4">
    <w:name w:val="Normal Indent"/>
    <w:basedOn w:val="1"/>
    <w:qFormat/>
    <w:uiPriority w:val="0"/>
    <w:pPr>
      <w:ind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character" w:styleId="8">
    <w:name w:val="page number"/>
    <w:basedOn w:val="7"/>
    <w:qFormat/>
    <w:uiPriority w:val="0"/>
  </w:style>
  <w:style w:type="paragraph" w:customStyle="1" w:styleId="9">
    <w:name w:val=" Char"/>
    <w:basedOn w:val="1"/>
    <w:uiPriority w:val="0"/>
    <w:rPr>
      <w:rFonts w:ascii="宋体" w:hAnsi="宋体" w:cs="Courier New"/>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7</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2026-09-17T05:54:00Z</dcterms:created>
  <dc:creator>孙彤</dc:creator>
  <cp:lastModifiedBy>孙彤</cp:lastModifiedBy>
  <dcterms:modified xsi:type="dcterms:W3CDTF">2026-09-17T06:02:02Z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C1942977D94848D1999F4215DEA4C401_11</vt:lpwstr>
  </property>
</Properties>
</file>