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黑体" w:hAnsi="黑体" w:eastAsia="黑体"/>
          <w:sz w:val="32"/>
          <w:szCs w:val="32"/>
        </w:rPr>
      </w:pPr>
      <w:r>
        <w:rPr>
          <w:rFonts w:hint="eastAsia" w:ascii="黑体" w:hAnsi="黑体" w:eastAsia="黑体"/>
          <w:sz w:val="32"/>
          <w:szCs w:val="32"/>
        </w:rPr>
        <w:t>附件1</w:t>
      </w:r>
    </w:p>
    <w:p>
      <w:pPr>
        <w:spacing w:line="560" w:lineRule="exact"/>
        <w:jc w:val="center"/>
        <w:rPr>
          <w:rFonts w:hint="eastAsia" w:ascii="方正小标宋简体" w:hAnsi="方正小标宋简体" w:eastAsia="方正小标宋简体" w:cs="方正小标宋简体"/>
          <w:b w:val="0"/>
          <w:bCs w:val="0"/>
          <w:color w:val="000000"/>
          <w:spacing w:val="12"/>
          <w:kern w:val="0"/>
          <w:sz w:val="44"/>
          <w:szCs w:val="44"/>
        </w:rPr>
      </w:pPr>
    </w:p>
    <w:p>
      <w:pPr>
        <w:spacing w:line="560" w:lineRule="exact"/>
        <w:jc w:val="center"/>
        <w:rPr>
          <w:rFonts w:hint="eastAsia" w:ascii="方正小标宋简体" w:hAnsi="方正小标宋简体" w:eastAsia="方正小标宋简体" w:cs="方正小标宋简体"/>
          <w:b w:val="0"/>
          <w:bCs w:val="0"/>
          <w:color w:val="000000"/>
          <w:spacing w:val="12"/>
          <w:kern w:val="0"/>
          <w:sz w:val="44"/>
          <w:szCs w:val="44"/>
          <w:lang w:eastAsia="zh-CN"/>
        </w:rPr>
      </w:pPr>
      <w:r>
        <w:rPr>
          <w:rFonts w:hint="eastAsia" w:ascii="方正小标宋简体" w:hAnsi="方正小标宋简体" w:eastAsia="方正小标宋简体" w:cs="方正小标宋简体"/>
          <w:b w:val="0"/>
          <w:bCs w:val="0"/>
          <w:color w:val="000000"/>
          <w:spacing w:val="12"/>
          <w:kern w:val="0"/>
          <w:sz w:val="44"/>
          <w:szCs w:val="44"/>
        </w:rPr>
        <w:t>北京市人民防空领域行政处罚</w:t>
      </w:r>
      <w:r>
        <w:rPr>
          <w:rFonts w:hint="eastAsia" w:ascii="方正小标宋简体" w:hAnsi="方正小标宋简体" w:eastAsia="方正小标宋简体" w:cs="方正小标宋简体"/>
          <w:b w:val="0"/>
          <w:bCs w:val="0"/>
          <w:color w:val="000000"/>
          <w:spacing w:val="12"/>
          <w:kern w:val="0"/>
          <w:sz w:val="44"/>
          <w:szCs w:val="44"/>
          <w:lang w:eastAsia="zh-CN"/>
        </w:rPr>
        <w:t>责任</w:t>
      </w:r>
      <w:r>
        <w:rPr>
          <w:rFonts w:hint="eastAsia" w:ascii="方正小标宋简体" w:hAnsi="方正小标宋简体" w:eastAsia="方正小标宋简体" w:cs="方正小标宋简体"/>
          <w:b w:val="0"/>
          <w:bCs w:val="0"/>
          <w:color w:val="000000"/>
          <w:spacing w:val="12"/>
          <w:kern w:val="0"/>
          <w:sz w:val="44"/>
          <w:szCs w:val="44"/>
        </w:rPr>
        <w:t>清单</w:t>
      </w:r>
      <w:r>
        <w:rPr>
          <w:rFonts w:hint="eastAsia" w:ascii="方正小标宋简体" w:hAnsi="方正小标宋简体" w:eastAsia="方正小标宋简体" w:cs="方正小标宋简体"/>
          <w:b w:val="0"/>
          <w:bCs w:val="0"/>
          <w:color w:val="000000"/>
          <w:spacing w:val="12"/>
          <w:kern w:val="0"/>
          <w:sz w:val="44"/>
          <w:szCs w:val="44"/>
          <w:lang w:eastAsia="zh-CN"/>
        </w:rPr>
        <w:t>（</w:t>
      </w:r>
      <w:r>
        <w:rPr>
          <w:rFonts w:hint="eastAsia" w:ascii="方正小标宋简体" w:hAnsi="方正小标宋简体" w:eastAsia="方正小标宋简体" w:cs="方正小标宋简体"/>
          <w:b w:val="0"/>
          <w:bCs w:val="0"/>
          <w:color w:val="000000"/>
          <w:spacing w:val="12"/>
          <w:kern w:val="0"/>
          <w:sz w:val="44"/>
          <w:szCs w:val="44"/>
          <w:lang w:val="en-US" w:eastAsia="zh-CN"/>
        </w:rPr>
        <w:t>2026年版）（征求意见稿</w:t>
      </w:r>
      <w:r>
        <w:rPr>
          <w:rFonts w:hint="eastAsia" w:ascii="方正小标宋简体" w:hAnsi="方正小标宋简体" w:eastAsia="方正小标宋简体" w:cs="方正小标宋简体"/>
          <w:b w:val="0"/>
          <w:bCs w:val="0"/>
          <w:color w:val="000000"/>
          <w:spacing w:val="12"/>
          <w:kern w:val="0"/>
          <w:sz w:val="44"/>
          <w:szCs w:val="44"/>
          <w:lang w:eastAsia="zh-CN"/>
        </w:rPr>
        <w:t>）</w:t>
      </w:r>
    </w:p>
    <w:p>
      <w:pPr>
        <w:spacing w:line="560" w:lineRule="exact"/>
        <w:ind w:firstLine="640" w:firstLineChars="200"/>
        <w:rPr>
          <w:rFonts w:hint="eastAsia" w:ascii="仿宋_GB2312" w:hAnsi="仿宋_GB2312" w:eastAsia="仿宋_GB2312" w:cs="仿宋_GB2312"/>
          <w:sz w:val="32"/>
          <w:szCs w:val="32"/>
          <w:lang w:eastAsia="zh-CN"/>
        </w:rPr>
      </w:pP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ascii="仿宋" w:hAnsi="仿宋" w:eastAsia="仿宋"/>
          <w:sz w:val="32"/>
          <w:szCs w:val="32"/>
        </w:rPr>
      </w:pPr>
      <w:r>
        <w:rPr>
          <w:rFonts w:hint="eastAsia" w:ascii="仿宋_GB2312" w:hAnsi="仿宋_GB2312" w:eastAsia="仿宋_GB2312" w:cs="仿宋_GB2312"/>
          <w:sz w:val="32"/>
          <w:szCs w:val="32"/>
        </w:rPr>
        <w:t>为深入贯彻落实《中华人民共和国人民防空法》《中华人民共和国行政处罚法》《人民防空防护设备管理办法》等法律法规，进一步规</w:t>
      </w:r>
      <w:bookmarkStart w:id="0" w:name="_GoBack"/>
      <w:bookmarkEnd w:id="0"/>
      <w:r>
        <w:rPr>
          <w:rFonts w:hint="eastAsia" w:ascii="仿宋_GB2312" w:hAnsi="仿宋_GB2312" w:eastAsia="仿宋_GB2312" w:cs="仿宋_GB2312"/>
          <w:sz w:val="32"/>
          <w:szCs w:val="32"/>
        </w:rPr>
        <w:t>范北京市人民防空领域行政处罚</w:t>
      </w:r>
      <w:r>
        <w:rPr>
          <w:rFonts w:hint="eastAsia" w:ascii="仿宋_GB2312" w:hAnsi="仿宋_GB2312" w:eastAsia="仿宋_GB2312" w:cs="仿宋_GB2312"/>
          <w:sz w:val="32"/>
          <w:szCs w:val="32"/>
          <w:lang w:eastAsia="zh-CN"/>
        </w:rPr>
        <w:t>的责任事项</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明确</w:t>
      </w:r>
      <w:r>
        <w:rPr>
          <w:rFonts w:hint="eastAsia" w:ascii="仿宋_GB2312" w:hAnsi="仿宋_GB2312" w:eastAsia="仿宋_GB2312" w:cs="仿宋_GB2312"/>
          <w:sz w:val="32"/>
          <w:szCs w:val="32"/>
          <w:lang w:val="en-US" w:eastAsia="zh-CN"/>
        </w:rPr>
        <w:t>权责边界、责任事项、追责机制，提升执法质效，</w:t>
      </w:r>
      <w:r>
        <w:rPr>
          <w:rFonts w:hint="eastAsia" w:ascii="仿宋_GB2312" w:hAnsi="仿宋_GB2312" w:eastAsia="仿宋_GB2312" w:cs="仿宋_GB2312"/>
          <w:sz w:val="32"/>
          <w:szCs w:val="32"/>
        </w:rPr>
        <w:t>结合本市人民防空工作实际，在2023年版78项行政处罚</w:t>
      </w:r>
      <w:r>
        <w:rPr>
          <w:rFonts w:hint="eastAsia" w:ascii="仿宋_GB2312" w:hAnsi="仿宋_GB2312" w:eastAsia="仿宋_GB2312" w:cs="仿宋_GB2312"/>
          <w:sz w:val="32"/>
          <w:szCs w:val="32"/>
          <w:lang w:eastAsia="zh-CN"/>
        </w:rPr>
        <w:t>责任</w:t>
      </w:r>
      <w:r>
        <w:rPr>
          <w:rFonts w:hint="eastAsia" w:ascii="仿宋_GB2312" w:hAnsi="仿宋_GB2312" w:eastAsia="仿宋_GB2312" w:cs="仿宋_GB2312"/>
          <w:sz w:val="32"/>
          <w:szCs w:val="32"/>
        </w:rPr>
        <w:t>清单基础上</w:t>
      </w:r>
      <w:r>
        <w:rPr>
          <w:rFonts w:hint="eastAsia" w:ascii="仿宋_GB2312" w:hAnsi="仿宋_GB2312" w:eastAsia="仿宋_GB2312" w:cs="仿宋_GB2312"/>
          <w:sz w:val="32"/>
          <w:szCs w:val="32"/>
          <w:lang w:eastAsia="zh-CN"/>
        </w:rPr>
        <w:t>，修订本清单</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bCs/>
          <w:sz w:val="32"/>
          <w:szCs w:val="32"/>
        </w:rPr>
        <w:t>一、适用范围</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本清单适用于北京市</w:t>
      </w:r>
      <w:r>
        <w:rPr>
          <w:rFonts w:hint="eastAsia" w:ascii="仿宋_GB2312" w:hAnsi="仿宋_GB2312" w:eastAsia="仿宋_GB2312" w:cs="仿宋_GB2312"/>
          <w:sz w:val="32"/>
          <w:szCs w:val="32"/>
          <w:lang w:eastAsia="zh-CN"/>
        </w:rPr>
        <w:t>市、区两</w:t>
      </w:r>
      <w:r>
        <w:rPr>
          <w:rFonts w:hint="eastAsia" w:ascii="仿宋_GB2312" w:hAnsi="仿宋_GB2312" w:eastAsia="仿宋_GB2312" w:cs="仿宋_GB2312"/>
          <w:sz w:val="32"/>
          <w:szCs w:val="32"/>
        </w:rPr>
        <w:t>级人民防空主管部门实施的行政处罚</w:t>
      </w:r>
      <w:r>
        <w:rPr>
          <w:rFonts w:hint="eastAsia" w:ascii="仿宋_GB2312" w:hAnsi="仿宋_GB2312" w:eastAsia="仿宋_GB2312" w:cs="仿宋_GB2312"/>
          <w:sz w:val="32"/>
          <w:szCs w:val="32"/>
          <w:lang w:eastAsia="zh-CN"/>
        </w:rPr>
        <w:t>事项</w:t>
      </w:r>
      <w:r>
        <w:rPr>
          <w:rFonts w:hint="eastAsia" w:ascii="仿宋_GB2312" w:hAnsi="仿宋_GB2312" w:eastAsia="仿宋_GB2312" w:cs="仿宋_GB2312"/>
          <w:sz w:val="32"/>
          <w:szCs w:val="32"/>
        </w:rPr>
        <w:t>，涵盖人民防空工程建设、防护设备管理、工程使用安全等领域的行政处罚</w:t>
      </w:r>
      <w:r>
        <w:rPr>
          <w:rFonts w:hint="eastAsia" w:ascii="仿宋_GB2312" w:hAnsi="仿宋_GB2312" w:eastAsia="仿宋_GB2312" w:cs="仿宋_GB2312"/>
          <w:sz w:val="32"/>
          <w:szCs w:val="32"/>
          <w:lang w:eastAsia="zh-CN"/>
        </w:rPr>
        <w:t>职权</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ascii="黑体" w:hAnsi="黑体" w:eastAsia="黑体"/>
          <w:bCs/>
          <w:sz w:val="32"/>
          <w:szCs w:val="32"/>
        </w:rPr>
      </w:pPr>
      <w:r>
        <w:rPr>
          <w:rFonts w:hint="eastAsia" w:ascii="黑体" w:hAnsi="黑体" w:eastAsia="黑体"/>
          <w:bCs/>
          <w:sz w:val="32"/>
          <w:szCs w:val="32"/>
        </w:rPr>
        <w:t>二、</w:t>
      </w:r>
      <w:r>
        <w:rPr>
          <w:rFonts w:hint="eastAsia" w:ascii="黑体" w:hAnsi="黑体" w:eastAsia="黑体"/>
          <w:bCs/>
          <w:sz w:val="32"/>
          <w:szCs w:val="32"/>
          <w:lang w:eastAsia="zh-CN"/>
        </w:rPr>
        <w:t>责任</w:t>
      </w:r>
      <w:r>
        <w:rPr>
          <w:rFonts w:hint="eastAsia" w:ascii="黑体" w:hAnsi="黑体" w:eastAsia="黑体"/>
          <w:bCs/>
          <w:sz w:val="32"/>
          <w:szCs w:val="32"/>
        </w:rPr>
        <w:t>清单主要内容</w:t>
      </w: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本清单按照“权责一致”原则，将每项行政处罚事项逐项分解为责任事项和追责情形两个核心板块，具体包括以下要素： </w:t>
      </w:r>
    </w:p>
    <w:p>
      <w:pPr>
        <w:keepNext w:val="0"/>
        <w:keepLines w:val="0"/>
        <w:pageBreakBefore w:val="0"/>
        <w:widowControl/>
        <w:numPr>
          <w:ilvl w:val="0"/>
          <w:numId w:val="1"/>
        </w:numPr>
        <w:suppressLineNumbers w:val="0"/>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责任事项。按照行政处罚办案流程，逐环节明确立案责任、调查取证责任、审查责任、告知责任、决定责任、送达责任、执行与结案责任等七个环节的具体责任内容。立案环节明确对违法行为线索的审查受理和立案时限要求；调查取证环节明确执法人员不得少于二人、应出示执法证件、与当事人有直接利害关系的应当回避等程序规范；审查环节明确对违法事实、证据、程序、法律适用及裁量幅度的全面审查要求；告知环节明确处罚前告知义务及听证权利保障；决定环节明确处罚决定书的法定载明事项；送达环节明确送达方式和时限；执行环节明确对逾期不履行处罚决定的处理措施及申请法院强制执行程序。 </w:t>
      </w:r>
    </w:p>
    <w:p>
      <w:pPr>
        <w:keepNext w:val="0"/>
        <w:keepLines w:val="0"/>
        <w:pageBreakBefore w:val="0"/>
        <w:widowControl/>
        <w:numPr>
          <w:ilvl w:val="0"/>
          <w:numId w:val="0"/>
        </w:numPr>
        <w:suppressLineNumbers w:val="0"/>
        <w:kinsoku/>
        <w:wordWrap/>
        <w:overflowPunct/>
        <w:topLinePunct w:val="0"/>
        <w:autoSpaceDE/>
        <w:autoSpaceDN/>
        <w:bidi w:val="0"/>
        <w:spacing w:line="560" w:lineRule="exact"/>
        <w:ind w:firstLine="640" w:firstLineChars="200"/>
        <w:jc w:val="both"/>
        <w:textAlignment w:val="auto"/>
        <w:rPr>
          <w:rFonts w:hint="eastAsia" w:ascii="黑体" w:hAnsi="黑体" w:eastAsia="黑体"/>
          <w:bCs/>
          <w:sz w:val="32"/>
          <w:szCs w:val="32"/>
          <w:lang w:val="en-US" w:eastAsia="zh-CN"/>
        </w:rPr>
      </w:pPr>
      <w:r>
        <w:rPr>
          <w:rFonts w:hint="eastAsia" w:ascii="仿宋_GB2312" w:hAnsi="仿宋_GB2312" w:eastAsia="仿宋_GB2312" w:cs="仿宋_GB2312"/>
          <w:sz w:val="32"/>
          <w:szCs w:val="32"/>
          <w:lang w:val="en-US" w:eastAsia="zh-CN"/>
        </w:rPr>
        <w:t xml:space="preserve">（二）追责情形。列明不履行或不正确履行法定职责应当承担相应责任的具体情形，主要包括：没有法定依据实施行政处罚；擅自改变行政处罚种类、幅度；违反法定行政处罚程序；违反委托处罚规定；符合听证条件应组织听证而不组织听证；执法人员利用职务上的便利，索取或者收受他人财物、收缴罚款据为己有；行政机关违法实行检查措施或者执行措施；应当移送追究刑事责任而未移送等。追责依据包括《中华人民共和国行政处罚法》等相关法律法规规章。 </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黑体" w:hAnsi="黑体" w:eastAsia="黑体"/>
          <w:bCs/>
          <w:sz w:val="32"/>
          <w:szCs w:val="32"/>
          <w:lang w:eastAsia="zh-CN"/>
        </w:rPr>
      </w:pPr>
      <w:r>
        <w:rPr>
          <w:rFonts w:hint="eastAsia" w:ascii="黑体" w:hAnsi="黑体" w:eastAsia="黑体"/>
          <w:bCs/>
          <w:sz w:val="32"/>
          <w:szCs w:val="32"/>
        </w:rPr>
        <w:t>三、新增10项处罚</w:t>
      </w:r>
      <w:r>
        <w:rPr>
          <w:rFonts w:hint="eastAsia" w:ascii="黑体" w:hAnsi="黑体" w:eastAsia="黑体"/>
          <w:bCs/>
          <w:sz w:val="32"/>
          <w:szCs w:val="32"/>
          <w:lang w:eastAsia="zh-CN"/>
        </w:rPr>
        <w:t>责任事项</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w:t>
      </w:r>
      <w:r>
        <w:rPr>
          <w:rFonts w:hint="eastAsia" w:ascii="仿宋_GB2312" w:hAnsi="仿宋_GB2312" w:eastAsia="仿宋_GB2312" w:cs="仿宋_GB2312"/>
          <w:sz w:val="32"/>
          <w:szCs w:val="32"/>
          <w:lang w:eastAsia="zh-CN"/>
        </w:rPr>
        <w:t>新实施的</w:t>
      </w:r>
      <w:r>
        <w:rPr>
          <w:rFonts w:hint="eastAsia" w:ascii="仿宋_GB2312" w:hAnsi="仿宋_GB2312" w:eastAsia="仿宋_GB2312" w:cs="仿宋_GB2312"/>
          <w:sz w:val="32"/>
          <w:szCs w:val="32"/>
        </w:rPr>
        <w:t>《人民防空防护设备管理办法》及相关法律法规要求，本次</w:t>
      </w:r>
      <w:r>
        <w:rPr>
          <w:rFonts w:hint="eastAsia" w:ascii="仿宋_GB2312" w:hAnsi="仿宋_GB2312" w:eastAsia="仿宋_GB2312" w:cs="仿宋_GB2312"/>
          <w:sz w:val="32"/>
          <w:szCs w:val="32"/>
          <w:lang w:eastAsia="zh-CN"/>
        </w:rPr>
        <w:t>责任</w:t>
      </w:r>
      <w:r>
        <w:rPr>
          <w:rFonts w:hint="eastAsia" w:ascii="仿宋_GB2312" w:hAnsi="仿宋_GB2312" w:eastAsia="仿宋_GB2312" w:cs="仿宋_GB2312"/>
          <w:sz w:val="32"/>
          <w:szCs w:val="32"/>
        </w:rPr>
        <w:t>清单新增了10项关于人民防空防护设备管理的行政处罚</w:t>
      </w:r>
      <w:r>
        <w:rPr>
          <w:rFonts w:hint="eastAsia" w:ascii="仿宋_GB2312" w:hAnsi="仿宋_GB2312" w:eastAsia="仿宋_GB2312" w:cs="仿宋_GB2312"/>
          <w:sz w:val="32"/>
          <w:szCs w:val="32"/>
          <w:lang w:eastAsia="zh-CN"/>
        </w:rPr>
        <w:t>责任事项</w:t>
      </w:r>
      <w:r>
        <w:rPr>
          <w:rFonts w:hint="eastAsia" w:ascii="仿宋_GB2312" w:hAnsi="仿宋_GB2312" w:eastAsia="仿宋_GB2312" w:cs="仿宋_GB2312"/>
          <w:sz w:val="32"/>
          <w:szCs w:val="32"/>
        </w:rPr>
        <w:t>（第79-88项），主要针对防护设备生产、销售、质量管控等环节的</w:t>
      </w:r>
      <w:r>
        <w:rPr>
          <w:rFonts w:hint="eastAsia" w:ascii="仿宋_GB2312" w:hAnsi="仿宋_GB2312" w:eastAsia="仿宋_GB2312" w:cs="仿宋_GB2312"/>
          <w:sz w:val="32"/>
          <w:szCs w:val="32"/>
          <w:lang w:eastAsia="zh-CN"/>
        </w:rPr>
        <w:t>处罚</w:t>
      </w:r>
      <w:r>
        <w:rPr>
          <w:rFonts w:hint="eastAsia" w:ascii="仿宋_GB2312" w:hAnsi="仿宋_GB2312" w:eastAsia="仿宋_GB2312" w:cs="仿宋_GB2312"/>
          <w:sz w:val="32"/>
          <w:szCs w:val="32"/>
        </w:rPr>
        <w:t>行为，进一步强化了</w:t>
      </w:r>
      <w:r>
        <w:rPr>
          <w:rFonts w:hint="eastAsia" w:ascii="仿宋_GB2312" w:hAnsi="仿宋_GB2312" w:eastAsia="仿宋_GB2312" w:cs="仿宋_GB2312"/>
          <w:sz w:val="32"/>
          <w:szCs w:val="32"/>
          <w:lang w:eastAsia="zh-CN"/>
        </w:rPr>
        <w:t>对人防领域执法行为的</w:t>
      </w:r>
      <w:r>
        <w:rPr>
          <w:rFonts w:hint="eastAsia" w:ascii="仿宋_GB2312" w:hAnsi="仿宋_GB2312" w:eastAsia="仿宋_GB2312" w:cs="仿宋_GB2312"/>
          <w:sz w:val="32"/>
          <w:szCs w:val="32"/>
        </w:rPr>
        <w:t>监管。</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黑体" w:hAnsi="黑体" w:eastAsia="黑体"/>
          <w:bCs/>
          <w:sz w:val="32"/>
          <w:szCs w:val="32"/>
        </w:rPr>
      </w:pPr>
      <w:r>
        <w:rPr>
          <w:rFonts w:hint="eastAsia" w:ascii="黑体" w:hAnsi="黑体" w:eastAsia="黑体"/>
          <w:bCs/>
          <w:sz w:val="32"/>
          <w:szCs w:val="32"/>
        </w:rPr>
        <w:t>四、实施要求</w:t>
      </w:r>
    </w:p>
    <w:p>
      <w:pPr>
        <w:keepNext w:val="0"/>
        <w:keepLines w:val="0"/>
        <w:pageBreakBefore w:val="0"/>
        <w:widowControl/>
        <w:numPr>
          <w:ilvl w:val="0"/>
          <w:numId w:val="0"/>
        </w:numPr>
        <w:suppressLineNumbers w:val="0"/>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一）严格对照执行。各执法机构和执法人员应严格按照责任清单行使处罚职权，不得超越权限实施处罚，不得减少或推卸对应责任。作出行政处罚决定前，须逐项对照责任事项要求进行自查，确保每一环节履职到位。 </w:t>
      </w:r>
    </w:p>
    <w:p>
      <w:pPr>
        <w:keepNext w:val="0"/>
        <w:keepLines w:val="0"/>
        <w:pageBreakBefore w:val="0"/>
        <w:widowControl/>
        <w:numPr>
          <w:ilvl w:val="0"/>
          <w:numId w:val="0"/>
        </w:numPr>
        <w:suppressLineNumbers w:val="0"/>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（二）强化动态管理。建立责任清单动态调整机制，根据法律法规规章的立改废释情况、上级决策部署以及执法实践需要，及时对清单内容进行修订完善，确保清单的合法性、准确性和时效性。 </w:t>
      </w:r>
    </w:p>
    <w:p>
      <w:pPr>
        <w:keepNext w:val="0"/>
        <w:keepLines w:val="0"/>
        <w:pageBreakBefore w:val="0"/>
        <w:widowControl/>
        <w:numPr>
          <w:ilvl w:val="0"/>
          <w:numId w:val="0"/>
        </w:numPr>
        <w:suppressLineNumbers w:val="0"/>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三）加强监督问效。将责任清单执行情况纳入行政执法监督范围，通过案卷评查、专项督查等方式，对清单落实情况进行常态化监督检查。对未按清单要求履职的，依规依纪追究相应责任，切实维护责任清单的严肃性和权威性。</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“责任清单”</w:t>
      </w:r>
      <w:r>
        <w:rPr>
          <w:rFonts w:hint="eastAsia" w:ascii="仿宋_GB2312" w:hAnsi="仿宋_GB2312" w:eastAsia="仿宋_GB2312" w:cs="仿宋_GB2312"/>
          <w:sz w:val="32"/>
          <w:szCs w:val="32"/>
        </w:rPr>
        <w:t>自印发之日起施行，由北京市</w:t>
      </w:r>
      <w:r>
        <w:rPr>
          <w:rFonts w:hint="eastAsia" w:ascii="仿宋_GB2312" w:hAnsi="仿宋_GB2312" w:eastAsia="仿宋_GB2312" w:cs="仿宋_GB2312"/>
          <w:sz w:val="32"/>
          <w:szCs w:val="32"/>
          <w:lang w:eastAsia="zh-CN"/>
        </w:rPr>
        <w:t>国防动员</w:t>
      </w:r>
      <w:r>
        <w:rPr>
          <w:rFonts w:hint="eastAsia" w:ascii="仿宋_GB2312" w:hAnsi="仿宋_GB2312" w:eastAsia="仿宋_GB2312" w:cs="仿宋_GB2312"/>
          <w:sz w:val="32"/>
          <w:szCs w:val="32"/>
        </w:rPr>
        <w:t>办公室解释。</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spacing w:line="560" w:lineRule="exact"/>
        <w:ind w:left="1278" w:leftChars="304" w:hanging="640" w:hangingChars="200"/>
        <w:textAlignment w:val="auto"/>
        <w:rPr>
          <w:rFonts w:hint="eastAsia" w:ascii="仿宋" w:hAnsi="仿宋" w:eastAsia="仿宋_GB2312" w:cs="Times New Roman"/>
          <w:sz w:val="32"/>
          <w:szCs w:val="32"/>
          <w:lang w:eastAsia="zh-CN"/>
        </w:rPr>
      </w:pPr>
      <w:r>
        <w:rPr>
          <w:rFonts w:hint="eastAsia" w:ascii="仿宋_GB2312" w:hAnsi="仿宋_GB2312" w:eastAsia="仿宋_GB2312" w:cs="仿宋_GB2312"/>
          <w:sz w:val="32"/>
          <w:szCs w:val="32"/>
        </w:rPr>
        <w:t>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北京市人民防空领域行政处罚</w:t>
      </w:r>
      <w:r>
        <w:rPr>
          <w:rFonts w:hint="eastAsia" w:ascii="仿宋_GB2312" w:hAnsi="仿宋_GB2312" w:eastAsia="仿宋_GB2312" w:cs="仿宋_GB2312"/>
          <w:sz w:val="32"/>
          <w:szCs w:val="32"/>
          <w:lang w:eastAsia="zh-CN"/>
        </w:rPr>
        <w:t>责任</w:t>
      </w:r>
      <w:r>
        <w:rPr>
          <w:rFonts w:hint="eastAsia" w:ascii="仿宋_GB2312" w:hAnsi="仿宋_GB2312" w:eastAsia="仿宋_GB2312" w:cs="仿宋_GB2312"/>
          <w:sz w:val="32"/>
          <w:szCs w:val="32"/>
        </w:rPr>
        <w:t>清单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2026年版</w:t>
      </w:r>
      <w:r>
        <w:rPr>
          <w:rFonts w:hint="eastAsia" w:ascii="仿宋_GB2312" w:hAnsi="仿宋_GB2312" w:eastAsia="仿宋_GB2312" w:cs="仿宋_GB2312"/>
          <w:sz w:val="32"/>
          <w:szCs w:val="32"/>
          <w:lang w:eastAsia="zh-CN"/>
        </w:rPr>
        <w:t>）》（征求意见稿）</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Tahoma">
    <w:altName w:val="DejaVu Sans"/>
    <w:panose1 w:val="020B0604030504040204"/>
    <w:charset w:val="00"/>
    <w:family w:val="swiss"/>
    <w:pitch w:val="default"/>
    <w:sig w:usb0="00000000" w:usb1="00000000" w:usb2="00000029" w:usb3="00000000" w:csb0="000101FF"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49"/>
      <w:rPr>
        <w:rStyle w:val="10"/>
        <w:rFonts w:ascii="宋体" w:hAnsi="宋体"/>
        <w:sz w:val="28"/>
        <w:szCs w:val="28"/>
      </w:rPr>
    </w:pPr>
    <w:r>
      <w:rPr>
        <w:rStyle w:val="10"/>
        <w:rFonts w:ascii="宋体" w:hAnsi="宋体"/>
        <w:sz w:val="28"/>
        <w:szCs w:val="28"/>
      </w:rPr>
      <w:fldChar w:fldCharType="begin"/>
    </w:r>
    <w:r>
      <w:rPr>
        <w:rStyle w:val="10"/>
        <w:rFonts w:ascii="宋体" w:hAnsi="宋体"/>
        <w:sz w:val="28"/>
        <w:szCs w:val="28"/>
      </w:rPr>
      <w:instrText xml:space="preserve">PAGE  </w:instrText>
    </w:r>
    <w:r>
      <w:rPr>
        <w:rStyle w:val="10"/>
        <w:rFonts w:ascii="宋体" w:hAnsi="宋体"/>
        <w:sz w:val="28"/>
        <w:szCs w:val="28"/>
      </w:rPr>
      <w:fldChar w:fldCharType="separate"/>
    </w:r>
    <w:r>
      <w:rPr>
        <w:rStyle w:val="10"/>
        <w:rFonts w:ascii="宋体" w:hAnsi="宋体"/>
        <w:sz w:val="28"/>
        <w:szCs w:val="28"/>
      </w:rPr>
      <w:t>- 2 -</w:t>
    </w:r>
    <w:r>
      <w:rPr>
        <w:rStyle w:val="10"/>
        <w:rFonts w:ascii="宋体" w:hAnsi="宋体"/>
        <w:sz w:val="28"/>
        <w:szCs w:val="28"/>
      </w:rPr>
      <w:fldChar w:fldCharType="end"/>
    </w:r>
  </w:p>
  <w:p>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9F65BE"/>
    <w:multiLevelType w:val="singleLevel"/>
    <w:tmpl w:val="FA9F65B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F1B5E3E"/>
    <w:rsid w:val="00026D27"/>
    <w:rsid w:val="000A1F87"/>
    <w:rsid w:val="00101BF1"/>
    <w:rsid w:val="0018004B"/>
    <w:rsid w:val="001B036B"/>
    <w:rsid w:val="00260711"/>
    <w:rsid w:val="0026260C"/>
    <w:rsid w:val="002D07C4"/>
    <w:rsid w:val="002E2EAD"/>
    <w:rsid w:val="003117B1"/>
    <w:rsid w:val="00345809"/>
    <w:rsid w:val="003508A7"/>
    <w:rsid w:val="003716E7"/>
    <w:rsid w:val="003956D2"/>
    <w:rsid w:val="003C34E0"/>
    <w:rsid w:val="004029B1"/>
    <w:rsid w:val="004052AC"/>
    <w:rsid w:val="00442DBD"/>
    <w:rsid w:val="0047044E"/>
    <w:rsid w:val="004C5F29"/>
    <w:rsid w:val="0052547B"/>
    <w:rsid w:val="00554282"/>
    <w:rsid w:val="005C0580"/>
    <w:rsid w:val="006A4DC3"/>
    <w:rsid w:val="006E252B"/>
    <w:rsid w:val="00723452"/>
    <w:rsid w:val="00731F25"/>
    <w:rsid w:val="007942CB"/>
    <w:rsid w:val="00860BFA"/>
    <w:rsid w:val="008E3F1E"/>
    <w:rsid w:val="008E71FE"/>
    <w:rsid w:val="00960F64"/>
    <w:rsid w:val="009D2372"/>
    <w:rsid w:val="009F4311"/>
    <w:rsid w:val="00A4160E"/>
    <w:rsid w:val="00A659A2"/>
    <w:rsid w:val="00AC0509"/>
    <w:rsid w:val="00AC0E2C"/>
    <w:rsid w:val="00C4280A"/>
    <w:rsid w:val="00C811F4"/>
    <w:rsid w:val="00C86917"/>
    <w:rsid w:val="00CF29C0"/>
    <w:rsid w:val="00D06D05"/>
    <w:rsid w:val="00D14095"/>
    <w:rsid w:val="00D53F1C"/>
    <w:rsid w:val="00E35D41"/>
    <w:rsid w:val="00EE238C"/>
    <w:rsid w:val="00EF3EC9"/>
    <w:rsid w:val="00F61560"/>
    <w:rsid w:val="00FD53AA"/>
    <w:rsid w:val="00FE3507"/>
    <w:rsid w:val="3B3A1625"/>
    <w:rsid w:val="3BF3D563"/>
    <w:rsid w:val="3F7220C5"/>
    <w:rsid w:val="43F74EFD"/>
    <w:rsid w:val="54FDA67B"/>
    <w:rsid w:val="5F4F1C59"/>
    <w:rsid w:val="5F6F9D43"/>
    <w:rsid w:val="5FF70D63"/>
    <w:rsid w:val="6BFDC836"/>
    <w:rsid w:val="6CFF9B5F"/>
    <w:rsid w:val="6EBFBBC5"/>
    <w:rsid w:val="6F454063"/>
    <w:rsid w:val="6F7F1C83"/>
    <w:rsid w:val="6FDF5F56"/>
    <w:rsid w:val="7397D8FB"/>
    <w:rsid w:val="73EBC94A"/>
    <w:rsid w:val="7875DC9C"/>
    <w:rsid w:val="7B5DB1CC"/>
    <w:rsid w:val="7DFEC7FE"/>
    <w:rsid w:val="7DFF55A3"/>
    <w:rsid w:val="7E15AFEB"/>
    <w:rsid w:val="7EBECAC8"/>
    <w:rsid w:val="7EF7D822"/>
    <w:rsid w:val="7F1B5E3E"/>
    <w:rsid w:val="7FF7A9C0"/>
    <w:rsid w:val="7FFB2AD7"/>
    <w:rsid w:val="7FFF88E3"/>
    <w:rsid w:val="9B7769A3"/>
    <w:rsid w:val="A76F1D22"/>
    <w:rsid w:val="BF7D98A7"/>
    <w:rsid w:val="BFBD2EBF"/>
    <w:rsid w:val="CCF75808"/>
    <w:rsid w:val="CEC60D7A"/>
    <w:rsid w:val="CFFFBA25"/>
    <w:rsid w:val="DE39CB86"/>
    <w:rsid w:val="DEF34C89"/>
    <w:rsid w:val="DF6C985B"/>
    <w:rsid w:val="DFF53C78"/>
    <w:rsid w:val="DFFB7659"/>
    <w:rsid w:val="E3F37A8D"/>
    <w:rsid w:val="EB1FE7CC"/>
    <w:rsid w:val="F3D277DE"/>
    <w:rsid w:val="F71534E4"/>
    <w:rsid w:val="F7DEE64C"/>
    <w:rsid w:val="F7FFC5CD"/>
    <w:rsid w:val="F85FBE47"/>
    <w:rsid w:val="FAAD21ED"/>
    <w:rsid w:val="FBF17CF9"/>
    <w:rsid w:val="FD755194"/>
    <w:rsid w:val="FD796439"/>
    <w:rsid w:val="FDB3852C"/>
    <w:rsid w:val="FE8F8819"/>
    <w:rsid w:val="FF0F7857"/>
    <w:rsid w:val="FF3B7661"/>
    <w:rsid w:val="FFBE61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Plain Text"/>
    <w:basedOn w:val="1"/>
    <w:qFormat/>
    <w:uiPriority w:val="0"/>
    <w:pPr>
      <w:suppressAutoHyphens/>
    </w:pPr>
    <w:rPr>
      <w:rFonts w:ascii="宋体" w:hAnsi="Courier New" w:cs="宋体"/>
      <w:szCs w:val="21"/>
    </w:r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Hyperlink"/>
    <w:basedOn w:val="8"/>
    <w:qFormat/>
    <w:uiPriority w:val="0"/>
    <w:rPr>
      <w:color w:val="0000FF"/>
      <w:u w:val="single"/>
    </w:rPr>
  </w:style>
  <w:style w:type="character" w:customStyle="1" w:styleId="12">
    <w:name w:val="页眉 Char"/>
    <w:basedOn w:val="8"/>
    <w:link w:val="5"/>
    <w:qFormat/>
    <w:uiPriority w:val="0"/>
    <w:rPr>
      <w:rFonts w:asciiTheme="minorHAnsi" w:hAnsiTheme="minorHAnsi" w:eastAsiaTheme="minorEastAsia" w:cstheme="minorBidi"/>
      <w:kern w:val="2"/>
      <w:sz w:val="18"/>
      <w:szCs w:val="18"/>
    </w:rPr>
  </w:style>
  <w:style w:type="character" w:customStyle="1" w:styleId="13">
    <w:name w:val="页脚 Char"/>
    <w:basedOn w:val="8"/>
    <w:link w:val="4"/>
    <w:qFormat/>
    <w:uiPriority w:val="0"/>
    <w:rPr>
      <w:rFonts w:asciiTheme="minorHAnsi" w:hAnsiTheme="minorHAnsi" w:eastAsiaTheme="minorEastAsia" w:cstheme="minorBidi"/>
      <w:kern w:val="2"/>
      <w:sz w:val="18"/>
      <w:szCs w:val="18"/>
    </w:rPr>
  </w:style>
  <w:style w:type="paragraph" w:customStyle="1" w:styleId="14">
    <w:name w:val="Char1 Char Char Char"/>
    <w:basedOn w:val="1"/>
    <w:qFormat/>
    <w:uiPriority w:val="0"/>
    <w:rPr>
      <w:rFonts w:ascii="Tahoma" w:hAnsi="Tahoma"/>
      <w:sz w:val="24"/>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163</Words>
  <Characters>934</Characters>
  <Lines>7</Lines>
  <Paragraphs>2</Paragraphs>
  <TotalTime>0</TotalTime>
  <ScaleCrop>false</ScaleCrop>
  <LinksUpToDate>false</LinksUpToDate>
  <CharactersWithSpaces>1095</CharactersWithSpaces>
  <Application>WPS Office_11.8.2.12065_F1E327BC-269C-435d-A152-05C5408002CA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2024-07-12T20:31:00Z</dcterms:created>
  <dc:creator>bjsrmfkbgs</dc:creator>
  <cp:lastModifiedBy>bjsrmfkbgs</cp:lastModifiedBy>
  <cp:lastPrinted>2026-09-12T01:01:00Z</cp:lastPrinted>
  <dcterms:modified xsi:type="dcterms:W3CDTF">2026-09-11T17:21:12Z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ICV">
    <vt:lpwstr>C6D57CB8B3EA71AE2E77876633857903</vt:lpwstr>
  </property>
</Properties>
</file>