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6FC44">
      <w:pPr>
        <w:spacing w:line="0" w:lineRule="atLeast"/>
        <w:jc w:val="left"/>
        <w:rPr>
          <w:rFonts w:hint="eastAsia" w:ascii="黑体" w:hAnsi="黑体" w:eastAsia="黑体" w:cs="黑体"/>
          <w:b w:val="0"/>
          <w:bCs w:val="0"/>
          <w:color w:val="000000"/>
          <w:sz w:val="32"/>
          <w:szCs w:val="32"/>
          <w:highlight w:val="none"/>
          <w:lang w:val="en-US" w:eastAsia="zh-CN"/>
        </w:rPr>
      </w:pPr>
      <w:bookmarkStart w:id="0" w:name="_GoBack"/>
      <w:r>
        <w:rPr>
          <w:rFonts w:hint="eastAsia" w:ascii="黑体" w:hAnsi="黑体" w:eastAsia="黑体" w:cs="黑体"/>
          <w:b w:val="0"/>
          <w:bCs w:val="0"/>
          <w:color w:val="000000"/>
          <w:sz w:val="32"/>
          <w:szCs w:val="32"/>
          <w:highlight w:val="none"/>
          <w:lang w:eastAsia="zh-CN"/>
        </w:rPr>
        <w:t>附件</w:t>
      </w:r>
      <w:r>
        <w:rPr>
          <w:rFonts w:hint="eastAsia" w:ascii="黑体" w:hAnsi="黑体" w:eastAsia="黑体" w:cs="黑体"/>
          <w:b w:val="0"/>
          <w:bCs w:val="0"/>
          <w:color w:val="000000"/>
          <w:sz w:val="32"/>
          <w:szCs w:val="32"/>
          <w:highlight w:val="none"/>
          <w:lang w:val="en-US" w:eastAsia="zh-CN"/>
        </w:rPr>
        <w:t>1</w:t>
      </w:r>
    </w:p>
    <w:bookmarkEnd w:id="0"/>
    <w:p w14:paraId="4D59F643">
      <w:pPr>
        <w:spacing w:line="0" w:lineRule="atLeast"/>
        <w:jc w:val="center"/>
        <w:rPr>
          <w:rFonts w:hint="eastAsia" w:ascii="方正小标宋简体" w:hAnsi="方正小标宋简体" w:eastAsia="方正小标宋简体" w:cs="方正小标宋简体"/>
          <w:b w:val="0"/>
          <w:bCs w:val="0"/>
          <w:color w:val="000000"/>
          <w:sz w:val="44"/>
          <w:szCs w:val="44"/>
          <w:highlight w:val="none"/>
          <w:lang w:eastAsia="zh-CN"/>
        </w:rPr>
      </w:pPr>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北京市城市管理综合行政执法行政裁量权基准</w:t>
      </w:r>
    </w:p>
    <w:p w14:paraId="37F1DA4A">
      <w:pPr>
        <w:spacing w:line="0" w:lineRule="atLeast"/>
        <w:jc w:val="center"/>
        <w:rPr>
          <w:rFonts w:hint="eastAsia" w:ascii="方正小标宋简体" w:hAnsi="方正小标宋简体" w:eastAsia="方正小标宋简体" w:cs="方正小标宋简体"/>
          <w:b w:val="0"/>
          <w:bCs w:val="0"/>
          <w:color w:val="000000"/>
          <w:sz w:val="44"/>
          <w:szCs w:val="44"/>
          <w:highlight w:val="none"/>
          <w:lang w:val="en-US" w:eastAsia="zh-CN"/>
        </w:rPr>
      </w:pPr>
      <w:r>
        <w:rPr>
          <w:rFonts w:hint="eastAsia" w:ascii="方正小标宋简体" w:hAnsi="方正小标宋简体" w:eastAsia="方正小标宋简体" w:cs="方正小标宋简体"/>
          <w:b w:val="0"/>
          <w:bCs w:val="0"/>
          <w:color w:val="000000"/>
          <w:sz w:val="44"/>
          <w:szCs w:val="44"/>
          <w:highlight w:val="none"/>
          <w:lang w:eastAsia="zh-CN"/>
        </w:rPr>
        <w:t>（征求意见稿）</w:t>
      </w:r>
    </w:p>
    <w:p w14:paraId="093668F3">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14:paraId="2CB3E9F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14:paraId="6E1D30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14:paraId="3F88B2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14:paraId="743D2F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14:paraId="172A1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14:paraId="72D8022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14:paraId="30AF12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14:paraId="03D1FF06">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14:paraId="1C1C9387">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14:paraId="7AE71062">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14:paraId="655F1487">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14:paraId="77253D0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14:paraId="1E514FE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14:paraId="408B3997">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14:paraId="453BF752">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14:paraId="26DB9D0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为1；相关执法案由明确规定以“逾期不改正”等情形为违法行为构成要件的除外。</w:t>
      </w:r>
    </w:p>
    <w:p w14:paraId="75560B9E">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14:paraId="08999D8E">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14:paraId="00CC3824">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14:paraId="04618DEE">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p>
    <w:p w14:paraId="3F3298CB">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14:paraId="238E3BA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14:paraId="3CF54F86">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rPr>
        <w:t>2</w:t>
      </w:r>
      <w:r>
        <w:rPr>
          <w:rFonts w:hint="eastAsia" w:ascii="仿宋_GB2312" w:hAnsi="仿宋_GB2312" w:eastAsia="仿宋_GB2312" w:cs="仿宋_GB2312"/>
          <w:b w:val="0"/>
          <w:bCs w:val="0"/>
          <w:color w:val="auto"/>
          <w:kern w:val="2"/>
          <w:sz w:val="32"/>
          <w:szCs w:val="32"/>
          <w:highlight w:val="none"/>
        </w:rPr>
        <w:t>.</w:t>
      </w:r>
      <w:r>
        <w:rPr>
          <w:rFonts w:hint="eastAsia" w:ascii="仿宋_GB2312" w:hAnsi="仿宋_GB2312" w:eastAsia="仿宋_GB2312" w:cs="仿宋_GB2312"/>
          <w:b w:val="0"/>
          <w:bCs w:val="0"/>
          <w:color w:val="auto"/>
          <w:kern w:val="2"/>
          <w:sz w:val="32"/>
          <w:szCs w:val="32"/>
          <w:highlight w:val="none"/>
          <w:lang w:val="en-US" w:eastAsia="zh-CN"/>
        </w:rPr>
        <w:t xml:space="preserve">1.5 </w:t>
      </w:r>
      <w:r>
        <w:rPr>
          <w:rFonts w:hint="eastAsia" w:ascii="仿宋_GB2312" w:hAnsi="仿宋_GB2312" w:eastAsia="仿宋_GB2312" w:cs="仿宋_GB2312"/>
          <w:b w:val="0"/>
          <w:bCs w:val="0"/>
          <w:color w:val="auto"/>
          <w:sz w:val="32"/>
          <w:szCs w:val="32"/>
          <w:highlight w:val="none"/>
        </w:rPr>
        <w:t>《基准表》未规定的或者存在其他特殊情况的，执法人员可以结合案件实际情况，</w:t>
      </w:r>
      <w:r>
        <w:rPr>
          <w:rFonts w:hint="eastAsia" w:ascii="仿宋_GB2312" w:hAnsi="仿宋_GB2312" w:eastAsia="仿宋_GB2312" w:cs="仿宋_GB2312"/>
          <w:b w:val="0"/>
          <w:bCs w:val="0"/>
          <w:color w:val="auto"/>
          <w:sz w:val="32"/>
          <w:szCs w:val="32"/>
          <w:highlight w:val="none"/>
          <w:lang w:eastAsia="zh-CN"/>
        </w:rPr>
        <w:t>充分</w:t>
      </w:r>
      <w:r>
        <w:rPr>
          <w:rFonts w:hint="eastAsia" w:ascii="仿宋_GB2312" w:hAnsi="仿宋_GB2312" w:eastAsia="仿宋_GB2312" w:cs="仿宋_GB2312"/>
          <w:b w:val="0"/>
          <w:bCs w:val="0"/>
          <w:color w:val="auto"/>
          <w:sz w:val="32"/>
          <w:szCs w:val="32"/>
          <w:highlight w:val="none"/>
        </w:rPr>
        <w:t>取证，提出处罚建议，报经案件审理委员会</w:t>
      </w:r>
      <w:r>
        <w:rPr>
          <w:rFonts w:hint="eastAsia" w:ascii="仿宋_GB2312" w:hAnsi="仿宋_GB2312" w:eastAsia="仿宋_GB2312" w:cs="仿宋_GB2312"/>
          <w:b w:val="0"/>
          <w:bCs w:val="0"/>
          <w:strike w:val="0"/>
          <w:dstrike w:val="0"/>
          <w:color w:val="auto"/>
          <w:sz w:val="32"/>
          <w:szCs w:val="32"/>
          <w:highlight w:val="none"/>
          <w:lang w:eastAsia="zh-CN"/>
        </w:rPr>
        <w:t>依据《</w:t>
      </w:r>
      <w:r>
        <w:rPr>
          <w:rFonts w:hint="eastAsia" w:ascii="仿宋_GB2312" w:hAnsi="仿宋_GB2312" w:eastAsia="仿宋_GB2312" w:cs="仿宋_GB2312"/>
          <w:b w:val="0"/>
          <w:bCs w:val="0"/>
          <w:color w:val="auto"/>
          <w:sz w:val="32"/>
          <w:szCs w:val="32"/>
          <w:highlight w:val="none"/>
        </w:rPr>
        <w:t>中华人民共和国</w:t>
      </w:r>
      <w:r>
        <w:rPr>
          <w:rFonts w:hint="eastAsia" w:ascii="仿宋_GB2312" w:hAnsi="仿宋_GB2312" w:eastAsia="仿宋_GB2312" w:cs="仿宋_GB2312"/>
          <w:b w:val="0"/>
          <w:bCs w:val="0"/>
          <w:strike w:val="0"/>
          <w:dstrike w:val="0"/>
          <w:color w:val="auto"/>
          <w:sz w:val="32"/>
          <w:szCs w:val="32"/>
          <w:highlight w:val="none"/>
          <w:lang w:eastAsia="zh-CN"/>
        </w:rPr>
        <w:t>行政处罚法》</w:t>
      </w:r>
      <w:r>
        <w:rPr>
          <w:rFonts w:hint="eastAsia" w:ascii="仿宋_GB2312" w:hAnsi="等线" w:eastAsia="仿宋_GB2312" w:cs="Times New Roman"/>
          <w:b w:val="0"/>
          <w:bCs w:val="0"/>
          <w:color w:val="auto"/>
          <w:sz w:val="32"/>
          <w:szCs w:val="32"/>
          <w:highlight w:val="none"/>
        </w:rPr>
        <w:t>和《基准》</w:t>
      </w:r>
      <w:r>
        <w:rPr>
          <w:rFonts w:hint="eastAsia" w:ascii="仿宋_GB2312" w:hAnsi="仿宋_GB2312" w:eastAsia="仿宋_GB2312" w:cs="仿宋_GB2312"/>
          <w:b w:val="0"/>
          <w:bCs w:val="0"/>
          <w:strike w:val="0"/>
          <w:dstrike w:val="0"/>
          <w:color w:val="auto"/>
          <w:sz w:val="32"/>
          <w:szCs w:val="32"/>
          <w:highlight w:val="none"/>
          <w:lang w:eastAsia="zh-CN"/>
        </w:rPr>
        <w:t>作出</w:t>
      </w:r>
      <w:r>
        <w:rPr>
          <w:rFonts w:hint="eastAsia" w:ascii="仿宋_GB2312" w:hAnsi="仿宋_GB2312" w:eastAsia="仿宋_GB2312" w:cs="仿宋_GB2312"/>
          <w:b w:val="0"/>
          <w:bCs w:val="0"/>
          <w:color w:val="auto"/>
          <w:sz w:val="32"/>
          <w:szCs w:val="32"/>
          <w:highlight w:val="none"/>
          <w:lang w:eastAsia="zh-CN"/>
        </w:rPr>
        <w:t>处理</w:t>
      </w:r>
      <w:r>
        <w:rPr>
          <w:rFonts w:hint="eastAsia" w:ascii="仿宋_GB2312" w:hAnsi="等线" w:eastAsia="仿宋_GB2312" w:cs="Times New Roman"/>
          <w:b w:val="0"/>
          <w:bCs w:val="0"/>
          <w:color w:val="auto"/>
          <w:sz w:val="32"/>
          <w:szCs w:val="32"/>
          <w:highlight w:val="none"/>
          <w:lang w:eastAsia="zh-CN"/>
        </w:rPr>
        <w:t>决定</w:t>
      </w:r>
      <w:r>
        <w:rPr>
          <w:rFonts w:hint="eastAsia" w:ascii="仿宋_GB2312" w:hAnsi="等线" w:eastAsia="仿宋_GB2312" w:cs="Times New Roman"/>
          <w:b w:val="0"/>
          <w:bCs w:val="0"/>
          <w:color w:val="auto"/>
          <w:sz w:val="32"/>
          <w:szCs w:val="32"/>
          <w:highlight w:val="none"/>
        </w:rPr>
        <w:t>。</w:t>
      </w:r>
    </w:p>
    <w:p w14:paraId="350B1964">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14:paraId="5CEA2C2E">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14:paraId="5146479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14:paraId="7A50DB6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14:paraId="3ADC82F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FF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14:paraId="528D88C8">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14:paraId="3C994C0F">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14:paraId="66F46BC7">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14:paraId="78644E56">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14:paraId="1F30996B">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14:paraId="01E63D6A">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14:paraId="29CC103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14:paraId="6EDDE217">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14:paraId="613200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14:paraId="34FBF7FE">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14:paraId="637D3E9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14:paraId="4B4BEA13">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14:paraId="795F9C6B">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14:paraId="2DB20521">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14:paraId="1528E82D">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14:paraId="31B859FD">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14:paraId="3171BB6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14:paraId="6C994AB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14:paraId="77D2EBD1">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14:paraId="66D9CBE5">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14:paraId="5A840389">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14:paraId="3B6880A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14:paraId="7187185E">
      <w:pPr>
        <w:keepNext w:val="0"/>
        <w:keepLines w:val="0"/>
        <w:pageBreakBefore w:val="0"/>
        <w:shd w:val="clear" w:color="auto" w:fill="FFFFFF"/>
        <w:kinsoku/>
        <w:overflowPunct/>
        <w:topLinePunct w:val="0"/>
        <w:autoSpaceDE/>
        <w:autoSpaceDN/>
        <w:bidi w:val="0"/>
        <w:adjustRightInd/>
        <w:snapToGrid w:val="0"/>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14:paraId="06722BA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14:paraId="4A866303">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14:paraId="4CFCC5F7">
      <w:pPr>
        <w:keepNext w:val="0"/>
        <w:keepLines w:val="0"/>
        <w:pageBreakBefore w:val="0"/>
        <w:kinsoku/>
        <w:overflowPunct/>
        <w:topLinePunct w:val="0"/>
        <w:autoSpaceDE/>
        <w:autoSpaceDN/>
        <w:bidi w:val="0"/>
        <w:adjustRightInd/>
        <w:spacing w:line="560" w:lineRule="exact"/>
        <w:ind w:firstLine="643"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14:paraId="1394612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14:paraId="65C2331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14:paraId="16F7F01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14:paraId="3AB1450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14:paraId="4726B498">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14:paraId="7F7AB608">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14:paraId="7C95AC4C">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14:paraId="012DEF4C">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w:t>
      </w:r>
      <w:r>
        <w:rPr>
          <w:rFonts w:hint="eastAsia" w:ascii="仿宋_GB2312" w:hAnsi="等线" w:eastAsia="仿宋_GB2312" w:cs="Times New Roman"/>
          <w:b w:val="0"/>
          <w:bCs w:val="0"/>
          <w:color w:val="auto"/>
          <w:sz w:val="32"/>
          <w:szCs w:val="32"/>
          <w:highlight w:val="none"/>
        </w:rPr>
        <w:t>处罚法》和《基准》规定的不予处罚，以及应当或者可以从轻、减轻、从重处罚等情形的，可以按照《中华人民共和国行政处罚法》和《基准》规</w:t>
      </w:r>
      <w:r>
        <w:rPr>
          <w:rFonts w:hint="eastAsia" w:ascii="仿宋_GB2312" w:hAnsi="等线" w:eastAsia="仿宋_GB2312" w:cs="Times New Roman"/>
          <w:b w:val="0"/>
          <w:bCs w:val="0"/>
          <w:color w:val="000000"/>
          <w:sz w:val="32"/>
          <w:szCs w:val="32"/>
          <w:highlight w:val="none"/>
        </w:rPr>
        <w:t>定实施处罚。</w:t>
      </w:r>
    </w:p>
    <w:p w14:paraId="48FD4984">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14:paraId="0285D833">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14:paraId="5A3C06EC">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14:paraId="6D78B7A8">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2.5.</w:t>
      </w:r>
      <w:r>
        <w:rPr>
          <w:rFonts w:hint="eastAsia" w:ascii="仿宋_GB2312" w:hAnsi="仿宋_GB2312" w:eastAsia="仿宋_GB2312" w:cs="仿宋_GB2312"/>
          <w:b w:val="0"/>
          <w:bCs w:val="0"/>
          <w:color w:val="auto"/>
          <w:sz w:val="32"/>
          <w:szCs w:val="32"/>
          <w:highlight w:val="none"/>
          <w:lang w:val="en-US" w:eastAsia="zh-CN"/>
        </w:rPr>
        <w:t xml:space="preserve">2 </w:t>
      </w:r>
      <w:r>
        <w:rPr>
          <w:rFonts w:hint="eastAsia" w:ascii="仿宋_GB2312" w:hAnsi="仿宋_GB2312" w:eastAsia="仿宋_GB2312" w:cs="仿宋_GB2312"/>
          <w:b w:val="0"/>
          <w:bCs w:val="0"/>
          <w:color w:val="auto"/>
          <w:sz w:val="32"/>
          <w:szCs w:val="32"/>
          <w:highlight w:val="none"/>
        </w:rPr>
        <w:t>案件审理委员会对执法人员提出的证据和处罚建议、理由等，应进行</w:t>
      </w:r>
      <w:r>
        <w:rPr>
          <w:rFonts w:hint="eastAsia" w:ascii="仿宋_GB2312" w:hAnsi="仿宋_GB2312" w:eastAsia="仿宋_GB2312" w:cs="仿宋_GB2312"/>
          <w:b w:val="0"/>
          <w:bCs w:val="0"/>
          <w:color w:val="auto"/>
          <w:sz w:val="32"/>
          <w:szCs w:val="32"/>
          <w:highlight w:val="none"/>
          <w:lang w:eastAsia="zh-CN"/>
        </w:rPr>
        <w:t>全面</w:t>
      </w:r>
      <w:r>
        <w:rPr>
          <w:rFonts w:hint="eastAsia" w:ascii="仿宋_GB2312" w:hAnsi="仿宋_GB2312" w:eastAsia="仿宋_GB2312" w:cs="仿宋_GB2312"/>
          <w:b w:val="0"/>
          <w:bCs w:val="0"/>
          <w:color w:val="auto"/>
          <w:sz w:val="32"/>
          <w:szCs w:val="32"/>
          <w:highlight w:val="none"/>
        </w:rPr>
        <w:t>审议，经审议成立的，应当采纳。相关情况，应当在案卷文书中详细记载。</w:t>
      </w:r>
    </w:p>
    <w:p w14:paraId="4D8B664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14:paraId="50F10567">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14:paraId="73524EA6">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14:paraId="658517F1">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14:paraId="5600235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14:paraId="052545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14:paraId="6DA24410">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14:paraId="232D687D">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14:paraId="19E9C2E5">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1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14:paraId="0B895B5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lang w:val="en-US" w:eastAsia="zh-CN"/>
        </w:rPr>
        <w:t xml:space="preserve">2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14:paraId="61FCE681">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3</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14:paraId="336DB38F">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14:paraId="7AC8C1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14:paraId="500726D9">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14:paraId="02A11CAC">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14:paraId="699DB990">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14:paraId="3F4AF09C">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14:paraId="56ACCE2A">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14:paraId="2B6E3DC0">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14:paraId="26409EFC">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14:paraId="0EA71555">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14:paraId="70F010FB">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14:paraId="40A8E0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14:paraId="4141D5BC">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14:paraId="70389E5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14:paraId="3B5F73C6">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14:paraId="15FBE373">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14:paraId="67D0D55D">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14:paraId="0925A1CF">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14:paraId="3B4A4E33">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14:paraId="274377DF">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14:paraId="6AC131ED">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14:paraId="64089201">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14:paraId="4866F25D">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14:paraId="00522382">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14:paraId="011D717A">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14:paraId="429FA2F8">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14:paraId="484471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14:paraId="0E0C31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14:paraId="5FE0258F">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14:paraId="71B06C59">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14:paraId="67EAE5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14:paraId="7AF1E8E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14:paraId="63B7116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14:paraId="00AD4F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14:paraId="3476F97A">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14:paraId="750E9FE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14:paraId="3FA5371D">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7.4</w:t>
      </w:r>
      <w:r>
        <w:rPr>
          <w:rFonts w:hint="default" w:ascii="仿宋_GB2312" w:hAnsi="仿宋_GB2312" w:eastAsia="仿宋_GB2312" w:cs="仿宋_GB2312"/>
          <w:b w:val="0"/>
          <w:bCs w:val="0"/>
          <w:color w:val="auto"/>
          <w:kern w:val="2"/>
          <w:sz w:val="32"/>
          <w:szCs w:val="32"/>
          <w:highlight w:val="none"/>
          <w:lang w:val="en-US" w:eastAsia="zh-CN" w:bidi="ar-SA"/>
        </w:rPr>
        <w:t xml:space="preserve"> </w:t>
      </w:r>
      <w:r>
        <w:rPr>
          <w:rFonts w:hint="eastAsia" w:ascii="仿宋_GB2312" w:hAnsi="仿宋_GB2312" w:eastAsia="仿宋_GB2312" w:cs="仿宋_GB2312"/>
          <w:b w:val="0"/>
          <w:bCs w:val="0"/>
          <w:color w:val="auto"/>
          <w:sz w:val="32"/>
          <w:szCs w:val="32"/>
          <w:highlight w:val="none"/>
        </w:rPr>
        <w:t>各</w:t>
      </w:r>
      <w:r>
        <w:rPr>
          <w:rFonts w:hint="eastAsia" w:ascii="仿宋_GB2312" w:hAnsi="仿宋_GB2312" w:eastAsia="仿宋_GB2312" w:cs="仿宋_GB2312"/>
          <w:b w:val="0"/>
          <w:bCs w:val="0"/>
          <w:color w:val="auto"/>
          <w:sz w:val="32"/>
          <w:szCs w:val="32"/>
          <w:highlight w:val="none"/>
          <w:lang w:eastAsia="zh-CN"/>
        </w:rPr>
        <w:t>实施部门</w:t>
      </w:r>
      <w:r>
        <w:rPr>
          <w:rFonts w:hint="eastAsia" w:ascii="仿宋_GB2312" w:hAnsi="仿宋_GB2312" w:eastAsia="仿宋_GB2312" w:cs="仿宋_GB2312"/>
          <w:b w:val="0"/>
          <w:bCs w:val="0"/>
          <w:color w:val="auto"/>
          <w:sz w:val="32"/>
          <w:szCs w:val="32"/>
          <w:highlight w:val="none"/>
        </w:rPr>
        <w:t>应当</w:t>
      </w:r>
      <w:r>
        <w:rPr>
          <w:rFonts w:hint="eastAsia" w:ascii="仿宋_GB2312" w:hAnsi="仿宋_GB2312" w:eastAsia="仿宋_GB2312" w:cs="仿宋_GB2312"/>
          <w:b w:val="0"/>
          <w:bCs w:val="0"/>
          <w:color w:val="auto"/>
          <w:sz w:val="32"/>
          <w:szCs w:val="32"/>
          <w:highlight w:val="none"/>
          <w:lang w:eastAsia="zh-CN"/>
        </w:rPr>
        <w:t>严格规范执行行政裁量权基准，不得擅自突破。适用《基准》可能出现明显不当、显失公平，或者基准适用的客观情况发生变化的，及时向市局反馈。</w:t>
      </w:r>
    </w:p>
    <w:p w14:paraId="0C4C8895">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14:paraId="302D1A5C">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14:paraId="39D15058">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14:paraId="642D17A9">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14:paraId="2BE041B5">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14:paraId="747BDD66">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14:paraId="12241B1D">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14:paraId="5F7E01B7">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14:paraId="05F588D7">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14:paraId="097E2D3D">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市城管执法局根据法律法规规章的颁布、修订、废止，并结合客观情况的变化和基层执法实践的反馈，及时新增或动态调整本《基准》。动态修订并公示的单行法律法规规章的裁量权基准，属于</w:t>
      </w:r>
      <w:r>
        <w:rPr>
          <w:rFonts w:hint="eastAsia" w:ascii="仿宋_GB2312" w:hAnsi="仿宋_GB2312" w:eastAsia="仿宋_GB2312" w:cs="仿宋_GB2312"/>
          <w:b w:val="0"/>
          <w:bCs w:val="0"/>
          <w:color w:val="auto"/>
          <w:sz w:val="32"/>
          <w:szCs w:val="32"/>
          <w:highlight w:val="none"/>
          <w:lang w:val="en-US" w:eastAsia="zh-CN"/>
        </w:rPr>
        <w:t>本《基准》的有效组</w:t>
      </w:r>
      <w:r>
        <w:rPr>
          <w:rFonts w:hint="eastAsia" w:ascii="仿宋_GB2312" w:hAnsi="仿宋_GB2312" w:eastAsia="仿宋_GB2312" w:cs="仿宋_GB2312"/>
          <w:b w:val="0"/>
          <w:bCs w:val="0"/>
          <w:color w:val="000000"/>
          <w:sz w:val="32"/>
          <w:szCs w:val="32"/>
          <w:highlight w:val="none"/>
          <w:lang w:val="en-US" w:eastAsia="zh-CN"/>
        </w:rPr>
        <w:t>成部分，一并贯彻执行。</w:t>
      </w:r>
    </w:p>
    <w:p w14:paraId="1B7B2545">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年3月1日</w:t>
      </w:r>
      <w:r>
        <w:rPr>
          <w:rFonts w:hint="eastAsia" w:ascii="仿宋_GB2312" w:hAnsi="仿宋_GB2312" w:eastAsia="仿宋_GB2312" w:cs="仿宋_GB2312"/>
          <w:b w:val="0"/>
          <w:bCs w:val="0"/>
          <w:color w:val="000000"/>
          <w:sz w:val="32"/>
          <w:szCs w:val="32"/>
          <w:highlight w:val="none"/>
        </w:rPr>
        <w:t>起实施，原市城管执法局印发的</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p w14:paraId="118BC720">
      <w:pPr>
        <w:keepNext w:val="0"/>
        <w:keepLines w:val="0"/>
        <w:pageBreakBefore w:val="0"/>
        <w:widowControl w:val="0"/>
        <w:tabs>
          <w:tab w:val="left" w:pos="960"/>
        </w:tabs>
        <w:kinsoku/>
        <w:wordWrap/>
        <w:overflowPunct/>
        <w:topLinePunct w:val="0"/>
        <w:autoSpaceDE/>
        <w:autoSpaceDN/>
        <w:bidi w:val="0"/>
        <w:adjustRightInd/>
        <w:snapToGrid/>
        <w:spacing w:line="560" w:lineRule="exact"/>
        <w:ind w:left="130" w:leftChars="62" w:firstLine="308" w:firstLineChars="100"/>
        <w:jc w:val="left"/>
        <w:textAlignment w:val="auto"/>
        <w:rPr>
          <w:rFonts w:hint="eastAsia" w:ascii="仿宋_GB2312" w:hAnsi="仿宋_GB2312" w:eastAsia="仿宋_GB2312" w:cs="仿宋_GB2312"/>
          <w:color w:val="000000"/>
          <w:spacing w:val="-6"/>
          <w:sz w:val="32"/>
          <w:szCs w:val="32"/>
          <w:highlight w:val="none"/>
        </w:rPr>
      </w:pPr>
      <w:r>
        <w:rPr>
          <w:rFonts w:hint="eastAsia" w:ascii="仿宋_GB2312" w:hAnsi="仿宋_GB2312" w:eastAsia="仿宋_GB2312" w:cs="仿宋_GB2312"/>
          <w:color w:val="000000"/>
          <w:spacing w:val="-6"/>
          <w:sz w:val="32"/>
          <w:szCs w:val="32"/>
          <w:highlight w:val="none"/>
          <w:lang w:val="en-US" w:eastAsia="zh-CN"/>
        </w:rPr>
        <w:t>附件: 1</w:t>
      </w:r>
      <w:r>
        <w:rPr>
          <w:rFonts w:hint="eastAsia" w:ascii="仿宋_GB2312" w:hAnsi="仿宋_GB2312" w:eastAsia="仿宋_GB2312" w:cs="仿宋_GB2312"/>
          <w:color w:val="000000"/>
          <w:spacing w:val="-6"/>
          <w:sz w:val="32"/>
          <w:szCs w:val="32"/>
          <w:highlight w:val="none"/>
        </w:rPr>
        <w:t>.北京市</w:t>
      </w:r>
      <w:r>
        <w:rPr>
          <w:rFonts w:hint="eastAsia" w:ascii="仿宋_GB2312" w:hAnsi="仿宋_GB2312" w:eastAsia="仿宋_GB2312" w:cs="仿宋_GB2312"/>
          <w:color w:val="000000"/>
          <w:spacing w:val="-6"/>
          <w:sz w:val="32"/>
          <w:szCs w:val="32"/>
          <w:highlight w:val="none"/>
          <w:lang w:val="en-US" w:eastAsia="zh-CN"/>
        </w:rPr>
        <w:t>城市管理综合行政执法</w:t>
      </w:r>
      <w:r>
        <w:rPr>
          <w:rFonts w:hint="eastAsia" w:ascii="仿宋_GB2312" w:hAnsi="仿宋_GB2312" w:eastAsia="仿宋_GB2312" w:cs="仿宋_GB2312"/>
          <w:color w:val="000000"/>
          <w:spacing w:val="-6"/>
          <w:sz w:val="32"/>
          <w:szCs w:val="32"/>
          <w:highlight w:val="none"/>
          <w:lang w:eastAsia="zh-CN"/>
        </w:rPr>
        <w:t>行政</w:t>
      </w:r>
      <w:r>
        <w:rPr>
          <w:rFonts w:hint="eastAsia" w:ascii="仿宋_GB2312" w:hAnsi="仿宋_GB2312" w:eastAsia="仿宋_GB2312" w:cs="仿宋_GB2312"/>
          <w:color w:val="000000"/>
          <w:spacing w:val="-6"/>
          <w:sz w:val="32"/>
          <w:szCs w:val="32"/>
          <w:highlight w:val="none"/>
        </w:rPr>
        <w:t>处罚裁量基准表</w:t>
      </w:r>
    </w:p>
    <w:p w14:paraId="3C22695F">
      <w:pPr>
        <w:keepNext w:val="0"/>
        <w:keepLines w:val="0"/>
        <w:pageBreakBefore w:val="0"/>
        <w:widowControl w:val="0"/>
        <w:numPr>
          <w:ilvl w:val="0"/>
          <w:numId w:val="0"/>
        </w:numPr>
        <w:tabs>
          <w:tab w:val="left" w:pos="960"/>
        </w:tabs>
        <w:kinsoku/>
        <w:wordWrap/>
        <w:overflowPunct/>
        <w:topLinePunct w:val="0"/>
        <w:autoSpaceDE/>
        <w:autoSpaceDN/>
        <w:bidi w:val="0"/>
        <w:adjustRightInd/>
        <w:snapToGrid/>
        <w:spacing w:line="560" w:lineRule="exact"/>
        <w:ind w:left="945" w:leftChars="450" w:firstLine="448" w:firstLineChars="14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w:t>
      </w:r>
      <w:r>
        <w:rPr>
          <w:rFonts w:hint="eastAsia" w:ascii="仿宋_GB2312" w:hAnsi="仿宋_GB2312" w:eastAsia="仿宋_GB2312" w:cs="仿宋_GB2312"/>
          <w:color w:val="000000"/>
          <w:sz w:val="32"/>
          <w:szCs w:val="32"/>
          <w:highlight w:val="none"/>
          <w:lang w:eastAsia="zh-CN"/>
        </w:rPr>
        <w:t>行政</w:t>
      </w:r>
      <w:r>
        <w:rPr>
          <w:rFonts w:hint="eastAsia" w:ascii="仿宋_GB2312" w:hAnsi="仿宋_GB2312" w:eastAsia="仿宋_GB2312" w:cs="仿宋_GB2312"/>
          <w:color w:val="000000"/>
          <w:sz w:val="32"/>
          <w:szCs w:val="32"/>
          <w:highlight w:val="none"/>
        </w:rPr>
        <w:t>处罚裁量区域</w:t>
      </w:r>
    </w:p>
    <w:p w14:paraId="4CC872E4">
      <w:pPr>
        <w:widowControl/>
        <w:shd w:val="clear" w:color="auto" w:fill="FFFFFF"/>
        <w:spacing w:line="560" w:lineRule="exact"/>
        <w:ind w:left="0" w:leftChars="0" w:firstLine="182" w:firstLineChars="57"/>
        <w:rPr>
          <w:rFonts w:hint="eastAsia" w:ascii="仿宋_GB2312" w:hAnsi="Times New Roman" w:eastAsia="仿宋_GB2312"/>
          <w:snapToGrid w:val="0"/>
          <w:color w:val="auto"/>
          <w:kern w:val="0"/>
          <w:sz w:val="28"/>
          <w:szCs w:val="28"/>
          <w:lang w:val="en-US" w:eastAsia="zh-CN"/>
        </w:rPr>
      </w:pP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分类管理</w:t>
      </w:r>
      <w:r>
        <w:rPr>
          <w:rFonts w:hint="eastAsia" w:ascii="仿宋_GB2312" w:hAnsi="仿宋_GB2312" w:eastAsia="仿宋_GB2312" w:cs="仿宋_GB2312"/>
          <w:color w:val="000000"/>
          <w:sz w:val="32"/>
          <w:szCs w:val="32"/>
          <w:highlight w:val="none"/>
          <w:lang w:eastAsia="zh-CN"/>
        </w:rPr>
        <w:t>台账</w:t>
      </w:r>
    </w:p>
    <w:sectPr>
      <w:headerReference r:id="rId3" w:type="default"/>
      <w:footerReference r:id="rId4" w:type="default"/>
      <w:pgSz w:w="11907" w:h="16839"/>
      <w:pgMar w:top="2098" w:right="1474" w:bottom="1985"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Unifont CSUR"/>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等线">
    <w:altName w:val="微软雅黑"/>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6D3D26D"/>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B7E09D6"/>
    <w:rsid w:val="2C15017B"/>
    <w:rsid w:val="2D954517"/>
    <w:rsid w:val="2FD79A29"/>
    <w:rsid w:val="2FFEF21E"/>
    <w:rsid w:val="32FE1E11"/>
    <w:rsid w:val="333D1186"/>
    <w:rsid w:val="33495AA3"/>
    <w:rsid w:val="33DF65D8"/>
    <w:rsid w:val="33E230A2"/>
    <w:rsid w:val="34E10213"/>
    <w:rsid w:val="36E777BF"/>
    <w:rsid w:val="3BC06239"/>
    <w:rsid w:val="3CDE8892"/>
    <w:rsid w:val="3E5E75D3"/>
    <w:rsid w:val="3EEDB004"/>
    <w:rsid w:val="3FCFF7A1"/>
    <w:rsid w:val="3FE5579F"/>
    <w:rsid w:val="417F150D"/>
    <w:rsid w:val="46D8132D"/>
    <w:rsid w:val="47DBAA35"/>
    <w:rsid w:val="48677392"/>
    <w:rsid w:val="49773E04"/>
    <w:rsid w:val="49933C9D"/>
    <w:rsid w:val="49BDDCC9"/>
    <w:rsid w:val="4C843786"/>
    <w:rsid w:val="4DB76BB1"/>
    <w:rsid w:val="4EADBCEC"/>
    <w:rsid w:val="4F6D3A04"/>
    <w:rsid w:val="4FFDDC5D"/>
    <w:rsid w:val="50CB2A60"/>
    <w:rsid w:val="51FF51CF"/>
    <w:rsid w:val="524B2647"/>
    <w:rsid w:val="52C16284"/>
    <w:rsid w:val="551E2129"/>
    <w:rsid w:val="561476D3"/>
    <w:rsid w:val="57FAF421"/>
    <w:rsid w:val="597946F1"/>
    <w:rsid w:val="5A381B38"/>
    <w:rsid w:val="5D5A0DFE"/>
    <w:rsid w:val="5DF5EAC0"/>
    <w:rsid w:val="5E7704A2"/>
    <w:rsid w:val="5EFFAA6E"/>
    <w:rsid w:val="5FF35695"/>
    <w:rsid w:val="61BC5FAC"/>
    <w:rsid w:val="62811C83"/>
    <w:rsid w:val="636A59F9"/>
    <w:rsid w:val="63FF7916"/>
    <w:rsid w:val="653F2FC9"/>
    <w:rsid w:val="67034349"/>
    <w:rsid w:val="672B2BDA"/>
    <w:rsid w:val="677023A6"/>
    <w:rsid w:val="67AFE7F4"/>
    <w:rsid w:val="689A0C72"/>
    <w:rsid w:val="69147F20"/>
    <w:rsid w:val="6A28043D"/>
    <w:rsid w:val="6BBA2214"/>
    <w:rsid w:val="6BDD76E7"/>
    <w:rsid w:val="6C5B64B9"/>
    <w:rsid w:val="6C5DCF0F"/>
    <w:rsid w:val="6CFF58E8"/>
    <w:rsid w:val="6D741DD2"/>
    <w:rsid w:val="6DEE99C9"/>
    <w:rsid w:val="6DFE1862"/>
    <w:rsid w:val="6E0F3D80"/>
    <w:rsid w:val="6FFF59C2"/>
    <w:rsid w:val="71660CC4"/>
    <w:rsid w:val="71BC27C8"/>
    <w:rsid w:val="75AC4151"/>
    <w:rsid w:val="75BB744D"/>
    <w:rsid w:val="76FDAA05"/>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EFBB3DB"/>
    <w:rsid w:val="7F47002D"/>
    <w:rsid w:val="7FAF3F2F"/>
    <w:rsid w:val="7FAFE12F"/>
    <w:rsid w:val="7FB7537F"/>
    <w:rsid w:val="7FBE31E6"/>
    <w:rsid w:val="7FBF39E1"/>
    <w:rsid w:val="7FE7157C"/>
    <w:rsid w:val="7FE97DD2"/>
    <w:rsid w:val="7FF4AAD0"/>
    <w:rsid w:val="7FFE6816"/>
    <w:rsid w:val="7FFF2B37"/>
    <w:rsid w:val="7FFFD408"/>
    <w:rsid w:val="8DEBB08C"/>
    <w:rsid w:val="8FEBDA76"/>
    <w:rsid w:val="9EFBE1FB"/>
    <w:rsid w:val="A9F9C79B"/>
    <w:rsid w:val="ADBF82E2"/>
    <w:rsid w:val="B1FE5DC7"/>
    <w:rsid w:val="B5FFA0F5"/>
    <w:rsid w:val="BBFE394B"/>
    <w:rsid w:val="BEBB5410"/>
    <w:rsid w:val="BEF756B4"/>
    <w:rsid w:val="BEFF63D2"/>
    <w:rsid w:val="BF9D5215"/>
    <w:rsid w:val="BFB7D0F1"/>
    <w:rsid w:val="BFCFED92"/>
    <w:rsid w:val="BFED07B7"/>
    <w:rsid w:val="BFFE7FFE"/>
    <w:rsid w:val="C1F70337"/>
    <w:rsid w:val="C52B3C43"/>
    <w:rsid w:val="C9EED341"/>
    <w:rsid w:val="D18F783F"/>
    <w:rsid w:val="D39ECC58"/>
    <w:rsid w:val="D6FF14E6"/>
    <w:rsid w:val="D7793427"/>
    <w:rsid w:val="D9FB70D8"/>
    <w:rsid w:val="DC332B6B"/>
    <w:rsid w:val="DDEA24AC"/>
    <w:rsid w:val="DE8F0F54"/>
    <w:rsid w:val="DF7F5F2F"/>
    <w:rsid w:val="DFF90CA0"/>
    <w:rsid w:val="DFFFFB4C"/>
    <w:rsid w:val="E4CE01CE"/>
    <w:rsid w:val="E95E2097"/>
    <w:rsid w:val="EBCA2006"/>
    <w:rsid w:val="ECEE79BD"/>
    <w:rsid w:val="EEDD29DD"/>
    <w:rsid w:val="EF6F5BC9"/>
    <w:rsid w:val="EF7E9431"/>
    <w:rsid w:val="EFA6415D"/>
    <w:rsid w:val="EFBFF7F3"/>
    <w:rsid w:val="F2DD7DF5"/>
    <w:rsid w:val="F37F3789"/>
    <w:rsid w:val="F57FE735"/>
    <w:rsid w:val="F77FF561"/>
    <w:rsid w:val="F79F18E8"/>
    <w:rsid w:val="F7DF9BA4"/>
    <w:rsid w:val="F7F72CA4"/>
    <w:rsid w:val="F83F40B7"/>
    <w:rsid w:val="FBCD4410"/>
    <w:rsid w:val="FBEB47E5"/>
    <w:rsid w:val="FCE7A319"/>
    <w:rsid w:val="FDDEBAC1"/>
    <w:rsid w:val="FDFF7F83"/>
    <w:rsid w:val="FDFFBBA1"/>
    <w:rsid w:val="FE2D8721"/>
    <w:rsid w:val="FE3FAB7F"/>
    <w:rsid w:val="FE78286A"/>
    <w:rsid w:val="FEED9AFB"/>
    <w:rsid w:val="FEFEC3DC"/>
    <w:rsid w:val="FF6D81E5"/>
    <w:rsid w:val="FFA2F7E2"/>
    <w:rsid w:val="FFBB2717"/>
    <w:rsid w:val="FFEB043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738</Words>
  <Characters>4210</Characters>
  <Lines>35</Lines>
  <Paragraphs>9</Paragraphs>
  <TotalTime>13</TotalTime>
  <ScaleCrop>false</ScaleCrop>
  <LinksUpToDate>false</LinksUpToDate>
  <CharactersWithSpaces>4939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2021-01-11T19:02:00Z</dcterms:created>
  <dc:creator>李光旭</dc:creator>
  <cp:lastModifiedBy>UOS-PC</cp:lastModifiedBy>
  <cp:lastPrinted>2021-01-11T19:33:00Z</cp:lastPrinted>
  <dcterms:modified xsi:type="dcterms:W3CDTF">2026-08-13T09:54:27Z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C6C2983D99793DE6F4F87A6A2C4153CA_43</vt:lpwstr>
  </property>
</Properties>
</file>