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DEDF9D">
      <w:pPr>
        <w:rPr>
          <w:rFonts w:hint="default" w:ascii="黑体" w:hAnsi="黑体" w:eastAsia="黑体" w:cs="黑体"/>
          <w:snapToGrid/>
          <w:kern w:val="2"/>
          <w:sz w:val="32"/>
          <w:szCs w:val="32"/>
          <w:highlight w:val="none"/>
          <w:lang w:val="en-US" w:eastAsia="zh-CN" w:bidi="ar-SA"/>
        </w:rPr>
      </w:pPr>
      <w:r>
        <w:rPr>
          <w:rFonts w:hint="eastAsia" w:ascii="黑体" w:hAnsi="黑体" w:eastAsia="黑体" w:cs="黑体"/>
          <w:snapToGrid/>
          <w:kern w:val="2"/>
          <w:sz w:val="32"/>
          <w:szCs w:val="32"/>
          <w:highlight w:val="none"/>
          <w:lang w:val="en-US" w:eastAsia="zh-CN" w:bidi="ar-SA"/>
        </w:rPr>
        <w:t>附件2</w:t>
      </w:r>
    </w:p>
    <w:p w14:paraId="76B10AA1">
      <w:pPr>
        <w:pStyle w:val="8"/>
        <w:wordWrap/>
        <w:adjustRightInd w:val="0"/>
        <w:snapToGrid w:val="0"/>
        <w:spacing w:line="240" w:lineRule="atLeast"/>
        <w:ind w:left="0" w:leftChars="0" w:right="0" w:rightChars="0" w:firstLine="0" w:firstLineChars="0"/>
        <w:jc w:val="left"/>
        <w:rPr>
          <w:rFonts w:hint="default" w:ascii="黑体" w:hAnsi="黑体" w:eastAsia="黑体" w:cs="黑体"/>
          <w:snapToGrid/>
          <w:kern w:val="2"/>
          <w:sz w:val="44"/>
          <w:szCs w:val="44"/>
          <w:highlight w:val="none"/>
          <w:lang w:val="en-US" w:eastAsia="zh-CN" w:bidi="ar-SA"/>
        </w:rPr>
      </w:pPr>
    </w:p>
    <w:p w14:paraId="10EC5CE3">
      <w:pPr>
        <w:spacing w:line="600" w:lineRule="exact"/>
        <w:jc w:val="center"/>
        <w:rPr>
          <w:rFonts w:hint="eastAsia" w:ascii="方正小标宋简体" w:hAnsi="方正小标宋简体" w:eastAsia="方正小标宋简体" w:cs="方正小标宋简体"/>
          <w:color w:val="000000"/>
          <w:kern w:val="0"/>
          <w:sz w:val="44"/>
          <w:szCs w:val="44"/>
          <w:highlight w:val="none"/>
          <w:u w:val="none"/>
          <w:lang w:eastAsia="zh-CN" w:bidi="ar"/>
        </w:rPr>
      </w:pPr>
      <w:r>
        <w:rPr>
          <w:rFonts w:hint="eastAsia" w:ascii="方正小标宋简体" w:hAnsi="方正小标宋简体" w:eastAsia="方正小标宋简体" w:cs="方正小标宋简体"/>
          <w:color w:val="000000"/>
          <w:kern w:val="0"/>
          <w:sz w:val="44"/>
          <w:szCs w:val="44"/>
          <w:highlight w:val="none"/>
          <w:u w:val="none"/>
          <w:lang w:bidi="ar"/>
        </w:rPr>
        <w:t>《</w:t>
      </w:r>
      <w:r>
        <w:rPr>
          <w:rFonts w:hint="eastAsia" w:ascii="方正小标宋简体" w:hAnsi="方正小标宋简体" w:eastAsia="方正小标宋简体" w:cs="方正小标宋简体"/>
          <w:color w:val="000000"/>
          <w:spacing w:val="-20"/>
          <w:kern w:val="0"/>
          <w:sz w:val="44"/>
          <w:szCs w:val="44"/>
          <w:highlight w:val="none"/>
          <w:u w:val="none"/>
          <w:lang w:bidi="ar"/>
        </w:rPr>
        <w:t>北京市餐厨废弃油脂管理规定（征求意见稿）</w:t>
      </w:r>
      <w:r>
        <w:rPr>
          <w:rFonts w:hint="eastAsia" w:ascii="方正小标宋简体" w:hAnsi="方正小标宋简体" w:eastAsia="方正小标宋简体" w:cs="方正小标宋简体"/>
          <w:color w:val="000000"/>
          <w:kern w:val="0"/>
          <w:sz w:val="44"/>
          <w:szCs w:val="44"/>
          <w:highlight w:val="none"/>
          <w:u w:val="none"/>
          <w:lang w:bidi="ar"/>
        </w:rPr>
        <w:t>》的起草说明</w:t>
      </w:r>
      <w:r>
        <w:rPr>
          <w:rFonts w:hint="eastAsia" w:ascii="方正小标宋简体" w:hAnsi="方正小标宋简体" w:eastAsia="方正小标宋简体" w:cs="方正小标宋简体"/>
          <w:color w:val="000000"/>
          <w:kern w:val="0"/>
          <w:sz w:val="44"/>
          <w:szCs w:val="44"/>
          <w:highlight w:val="none"/>
          <w:u w:val="none"/>
          <w:lang w:eastAsia="zh-CN" w:bidi="ar"/>
        </w:rPr>
        <w:t>和制定依据</w:t>
      </w:r>
    </w:p>
    <w:p w14:paraId="60EFE2BE">
      <w:pPr>
        <w:spacing w:line="600" w:lineRule="exact"/>
        <w:jc w:val="center"/>
        <w:rPr>
          <w:rFonts w:hint="eastAsia" w:ascii="方正小标宋简体" w:hAnsi="方正小标宋简体" w:eastAsia="方正小标宋简体" w:cs="方正小标宋简体"/>
          <w:b w:val="0"/>
          <w:bCs w:val="0"/>
          <w:i w:val="0"/>
          <w:iCs w:val="0"/>
          <w:color w:val="000000"/>
          <w:kern w:val="0"/>
          <w:sz w:val="32"/>
          <w:szCs w:val="32"/>
          <w:highlight w:val="none"/>
          <w:u w:val="none"/>
          <w:lang w:val="en-US" w:eastAsia="zh-CN" w:bidi="ar"/>
        </w:rPr>
      </w:pPr>
    </w:p>
    <w:p w14:paraId="676E3D09">
      <w:pPr>
        <w:pStyle w:val="5"/>
        <w:keepNext w:val="0"/>
        <w:keepLines w:val="0"/>
        <w:widowControl/>
        <w:suppressLineNumbers w:val="0"/>
        <w:autoSpaceDE w:val="0"/>
        <w:autoSpaceDN/>
        <w:spacing w:before="0" w:beforeLines="0" w:beforeAutospacing="0" w:after="0" w:afterLines="0" w:afterAutospacing="0" w:line="560" w:lineRule="exact"/>
        <w:ind w:left="0" w:right="0" w:firstLine="640" w:firstLineChars="200"/>
        <w:jc w:val="both"/>
        <w:outlineLvl w:val="0"/>
        <w:rPr>
          <w:sz w:val="32"/>
          <w:szCs w:val="32"/>
          <w:highlight w:val="none"/>
        </w:rPr>
      </w:pPr>
      <w:r>
        <w:rPr>
          <w:rFonts w:ascii="黑体" w:hAnsi="宋体" w:eastAsia="黑体" w:cs="黑体"/>
          <w:i w:val="0"/>
          <w:iCs w:val="0"/>
          <w:caps w:val="0"/>
          <w:color w:val="000000"/>
          <w:spacing w:val="0"/>
          <w:kern w:val="0"/>
          <w:sz w:val="32"/>
          <w:szCs w:val="32"/>
          <w:highlight w:val="none"/>
          <w:lang w:val="en-US" w:eastAsia="zh-CN" w:bidi="ar"/>
        </w:rPr>
        <w:t>一、起草</w:t>
      </w:r>
      <w:r>
        <w:rPr>
          <w:rFonts w:hint="default" w:ascii="黑体" w:hAnsi="宋体" w:eastAsia="黑体" w:cs="黑体"/>
          <w:i w:val="0"/>
          <w:iCs w:val="0"/>
          <w:caps w:val="0"/>
          <w:color w:val="000000"/>
          <w:spacing w:val="0"/>
          <w:kern w:val="0"/>
          <w:sz w:val="32"/>
          <w:szCs w:val="32"/>
          <w:highlight w:val="none"/>
          <w:lang w:val="en-US" w:eastAsia="zh-CN" w:bidi="ar"/>
        </w:rPr>
        <w:t>背景</w:t>
      </w:r>
    </w:p>
    <w:p w14:paraId="551BF7DD">
      <w:pPr>
        <w:numPr>
          <w:ilvl w:val="0"/>
          <w:numId w:val="0"/>
        </w:numPr>
        <w:adjustRightInd w:val="0"/>
        <w:snapToGrid/>
        <w:spacing w:beforeLines="0" w:afterLines="0" w:line="560" w:lineRule="exact"/>
        <w:ind w:firstLine="640" w:firstLineChars="200"/>
        <w:rPr>
          <w:rFonts w:hint="default" w:ascii="仿宋_GB2312" w:hAnsi="仿宋_GB2312" w:cs="仿宋_GB2312"/>
          <w:color w:val="auto"/>
          <w:kern w:val="32"/>
          <w:sz w:val="32"/>
          <w:szCs w:val="32"/>
          <w:highlight w:val="none"/>
          <w:lang w:val="en-US" w:eastAsia="zh-CN" w:bidi="ar"/>
        </w:rPr>
      </w:pPr>
      <w:r>
        <w:rPr>
          <w:rFonts w:hint="default" w:ascii="仿宋_GB2312" w:hAnsi="仿宋_GB2312" w:cs="仿宋_GB2312"/>
          <w:snapToGrid w:val="0"/>
          <w:highlight w:val="none"/>
          <w:lang w:val="en-US" w:eastAsia="zh-CN" w:bidi="ar"/>
        </w:rPr>
        <w:t>2025年12月27日，国务院印发《固体废物综合治理行动计划》，部署系统性环境治理行动，推进美丽中国建设与经济社会全面绿色转型，按照减量化、资源化、无害化原则，构建源头减量、过程管控、末端利用和全链条无害化管理的固体废物综合治理体系，加快完善综合治理长效机制。</w:t>
      </w:r>
      <w:r>
        <w:rPr>
          <w:rFonts w:hint="default" w:ascii="仿宋_GB2312" w:hAnsi="仿宋_GB2312" w:eastAsia="仿宋_GB2312" w:cs="仿宋_GB2312"/>
          <w:color w:val="auto"/>
          <w:kern w:val="32"/>
          <w:sz w:val="32"/>
          <w:szCs w:val="32"/>
          <w:highlight w:val="none"/>
          <w:lang w:val="en-US" w:eastAsia="zh-CN" w:bidi="ar"/>
        </w:rPr>
        <w:t>2026年3月12日，第十四届全国人大第四次会议通过《中华人民共和国生态环境法典》，筑牢了我国生态文明建设法治根基</w:t>
      </w:r>
      <w:r>
        <w:rPr>
          <w:rFonts w:hint="default" w:ascii="仿宋_GB2312" w:hAnsi="仿宋_GB2312" w:cs="仿宋_GB2312"/>
          <w:color w:val="auto"/>
          <w:kern w:val="32"/>
          <w:sz w:val="32"/>
          <w:szCs w:val="32"/>
          <w:highlight w:val="none"/>
          <w:lang w:val="en-US" w:eastAsia="zh-CN" w:bidi="ar"/>
        </w:rPr>
        <w:t>，要求县级以上地方人民政府环境卫生主管部门负责组织开展厨余垃圾资源化、无害化处理工作。</w:t>
      </w:r>
    </w:p>
    <w:p w14:paraId="588C2EF3">
      <w:pPr>
        <w:keepNext w:val="0"/>
        <w:keepLines w:val="0"/>
        <w:widowControl w:val="0"/>
        <w:suppressLineNumbers w:val="0"/>
        <w:autoSpaceDE/>
        <w:autoSpaceDN/>
        <w:adjustRightInd w:val="0"/>
        <w:spacing w:before="0" w:beforeLines="0" w:beforeAutospacing="0" w:after="0" w:afterLines="0" w:afterAutospacing="0" w:line="560" w:lineRule="exact"/>
        <w:ind w:left="0" w:right="0" w:firstLine="640" w:firstLineChars="200"/>
        <w:jc w:val="both"/>
        <w:rPr>
          <w:rFonts w:hint="eastAsia" w:ascii="仿宋_GB2312" w:hAnsi="仿宋_GB2312" w:eastAsia="仿宋_GB2312" w:cs="仿宋_GB2312"/>
          <w:kern w:val="32"/>
          <w:sz w:val="32"/>
          <w:szCs w:val="32"/>
          <w:highlight w:val="none"/>
          <w:shd w:val="clear" w:color="auto" w:fill="FFFFFF"/>
          <w:lang w:bidi="ar"/>
        </w:rPr>
      </w:pPr>
      <w:r>
        <w:rPr>
          <w:rFonts w:hint="default" w:ascii="仿宋_GB2312" w:hAnsi="仿宋_GB2312" w:eastAsia="仿宋_GB2312" w:cs="仿宋_GB2312"/>
          <w:snapToGrid w:val="0"/>
          <w:kern w:val="32"/>
          <w:sz w:val="32"/>
          <w:szCs w:val="32"/>
          <w:highlight w:val="none"/>
          <w:lang w:bidi="ar"/>
        </w:rPr>
        <w:t>为贯彻落实国家相关工作部署，立足首都发展实际，</w:t>
      </w:r>
      <w:r>
        <w:rPr>
          <w:rFonts w:hint="default" w:ascii="仿宋_GB2312" w:hAnsi="仿宋_GB2312" w:eastAsia="仿宋_GB2312" w:cs="仿宋_GB2312"/>
          <w:color w:val="auto"/>
          <w:kern w:val="32"/>
          <w:sz w:val="32"/>
          <w:szCs w:val="32"/>
          <w:highlight w:val="none"/>
          <w:shd w:val="clear" w:color="auto" w:fill="FFFFFF"/>
          <w:lang w:val="en-US" w:eastAsia="zh-CN" w:bidi="ar"/>
        </w:rPr>
        <w:t>进一步规范</w:t>
      </w:r>
      <w:r>
        <w:rPr>
          <w:rFonts w:hint="eastAsia" w:ascii="仿宋_GB2312" w:hAnsi="仿宋_GB2312" w:cs="仿宋_GB2312"/>
          <w:color w:val="auto"/>
          <w:kern w:val="32"/>
          <w:sz w:val="32"/>
          <w:szCs w:val="32"/>
          <w:highlight w:val="none"/>
          <w:shd w:val="clear" w:color="auto" w:fill="FFFFFF"/>
          <w:lang w:val="en-US" w:eastAsia="zh-CN" w:bidi="ar"/>
        </w:rPr>
        <w:t>本市</w:t>
      </w:r>
      <w:r>
        <w:rPr>
          <w:rFonts w:hint="default" w:ascii="仿宋_GB2312" w:hAnsi="仿宋_GB2312" w:eastAsia="仿宋_GB2312" w:cs="仿宋_GB2312"/>
          <w:color w:val="auto"/>
          <w:kern w:val="32"/>
          <w:sz w:val="32"/>
          <w:szCs w:val="32"/>
          <w:highlight w:val="none"/>
          <w:shd w:val="clear" w:color="auto" w:fill="FFFFFF"/>
          <w:lang w:val="en-US" w:eastAsia="zh-CN" w:bidi="ar"/>
        </w:rPr>
        <w:t>餐厨废弃油脂工作</w:t>
      </w:r>
      <w:r>
        <w:rPr>
          <w:rFonts w:hint="default" w:ascii="仿宋_GB2312" w:hAnsi="仿宋_GB2312" w:eastAsia="仿宋_GB2312" w:cs="仿宋_GB2312"/>
          <w:snapToGrid w:val="0"/>
          <w:kern w:val="32"/>
          <w:sz w:val="32"/>
          <w:szCs w:val="32"/>
          <w:highlight w:val="none"/>
          <w:lang w:bidi="ar"/>
        </w:rPr>
        <w:t>，</w:t>
      </w:r>
      <w:r>
        <w:rPr>
          <w:rFonts w:hint="eastAsia" w:cs="仿宋_GB2312"/>
          <w:strike w:val="0"/>
          <w:snapToGrid w:val="0"/>
          <w:kern w:val="2"/>
          <w:sz w:val="32"/>
          <w:szCs w:val="32"/>
          <w:highlight w:val="none"/>
          <w:lang w:val="en-US" w:eastAsia="zh-CN" w:bidi="ar"/>
        </w:rPr>
        <w:t>保障食品安全，促进资源循环利用，</w:t>
      </w:r>
      <w:r>
        <w:rPr>
          <w:rFonts w:hint="eastAsia" w:cs="仿宋_GB2312"/>
          <w:snapToGrid w:val="0"/>
          <w:kern w:val="2"/>
          <w:sz w:val="32"/>
          <w:szCs w:val="32"/>
          <w:highlight w:val="none"/>
          <w:lang w:eastAsia="zh-CN" w:bidi="ar"/>
        </w:rPr>
        <w:t>市城市管理</w:t>
      </w:r>
      <w:r>
        <w:rPr>
          <w:rFonts w:hint="default" w:ascii="仿宋_GB2312" w:hAnsi="仿宋_GB2312" w:eastAsia="仿宋_GB2312" w:cs="仿宋_GB2312"/>
          <w:snapToGrid w:val="0"/>
          <w:kern w:val="32"/>
          <w:sz w:val="32"/>
          <w:szCs w:val="32"/>
          <w:highlight w:val="none"/>
          <w:lang w:eastAsia="zh-CN" w:bidi="ar"/>
        </w:rPr>
        <w:t>委</w:t>
      </w:r>
      <w:r>
        <w:rPr>
          <w:rFonts w:hint="eastAsia" w:ascii="仿宋_GB2312" w:hAnsi="仿宋_GB2312" w:eastAsia="仿宋_GB2312" w:cs="仿宋_GB2312"/>
          <w:i w:val="0"/>
          <w:iCs w:val="0"/>
          <w:caps w:val="0"/>
          <w:spacing w:val="0"/>
          <w:sz w:val="32"/>
          <w:szCs w:val="32"/>
          <w:highlight w:val="none"/>
          <w:shd w:val="clear" w:color="auto" w:fill="auto"/>
        </w:rPr>
        <w:t>会同有关部门研究起草了</w:t>
      </w:r>
      <w:r>
        <w:rPr>
          <w:rFonts w:hint="default" w:ascii="仿宋_GB2312" w:hAnsi="仿宋_GB2312" w:eastAsia="仿宋_GB2312" w:cs="仿宋_GB2312"/>
          <w:color w:val="auto"/>
          <w:kern w:val="32"/>
          <w:sz w:val="32"/>
          <w:szCs w:val="32"/>
          <w:highlight w:val="none"/>
          <w:lang w:val="en-US" w:eastAsia="zh-CN" w:bidi="ar"/>
        </w:rPr>
        <w:t>《</w:t>
      </w:r>
      <w:r>
        <w:rPr>
          <w:rFonts w:hint="default" w:ascii="仿宋_GB2312" w:hAnsi="仿宋_GB2312" w:eastAsia="仿宋_GB2312" w:cs="仿宋_GB2312"/>
          <w:color w:val="auto"/>
          <w:spacing w:val="0"/>
          <w:sz w:val="32"/>
          <w:szCs w:val="32"/>
          <w:highlight w:val="none"/>
          <w:lang w:val="en-US" w:eastAsia="zh-CN" w:bidi="ar"/>
        </w:rPr>
        <w:t>北京市餐厨废弃油脂管理规定</w:t>
      </w:r>
      <w:r>
        <w:rPr>
          <w:rFonts w:hint="default" w:ascii="仿宋_GB2312" w:hAnsi="仿宋_GB2312" w:eastAsia="仿宋_GB2312" w:cs="仿宋_GB2312"/>
          <w:color w:val="auto"/>
          <w:kern w:val="32"/>
          <w:sz w:val="32"/>
          <w:szCs w:val="32"/>
          <w:highlight w:val="none"/>
          <w:lang w:val="en-US" w:eastAsia="zh-CN" w:bidi="ar"/>
        </w:rPr>
        <w:t>》</w:t>
      </w:r>
      <w:r>
        <w:rPr>
          <w:rFonts w:hint="eastAsia" w:ascii="仿宋_GB2312" w:hAnsi="仿宋_GB2312" w:cs="仿宋_GB2312"/>
          <w:color w:val="auto"/>
          <w:spacing w:val="0"/>
          <w:sz w:val="32"/>
          <w:szCs w:val="32"/>
          <w:highlight w:val="none"/>
          <w:lang w:val="en-US" w:eastAsia="zh-CN" w:bidi="ar"/>
        </w:rPr>
        <w:t>（</w:t>
      </w:r>
      <w:r>
        <w:rPr>
          <w:rFonts w:hint="eastAsia" w:ascii="仿宋_GB2312" w:hAnsi="宋体" w:eastAsia="仿宋_GB2312" w:cs="仿宋_GB2312"/>
          <w:snapToGrid w:val="0"/>
          <w:color w:val="auto"/>
          <w:kern w:val="2"/>
          <w:sz w:val="32"/>
          <w:szCs w:val="32"/>
          <w:highlight w:val="none"/>
          <w:lang w:val="en-US" w:eastAsia="zh-CN" w:bidi="ar"/>
        </w:rPr>
        <w:t>征求意见稿</w:t>
      </w:r>
      <w:r>
        <w:rPr>
          <w:rFonts w:hint="eastAsia" w:ascii="仿宋_GB2312" w:hAnsi="仿宋_GB2312" w:cs="仿宋_GB2312"/>
          <w:color w:val="auto"/>
          <w:spacing w:val="0"/>
          <w:sz w:val="32"/>
          <w:szCs w:val="32"/>
          <w:highlight w:val="none"/>
          <w:lang w:val="en-US" w:eastAsia="zh-CN" w:bidi="ar"/>
        </w:rPr>
        <w:t>）（以下简称《规定》）</w:t>
      </w:r>
      <w:r>
        <w:rPr>
          <w:rFonts w:hint="default" w:ascii="仿宋_GB2312" w:hAnsi="仿宋_GB2312" w:eastAsia="仿宋_GB2312" w:cs="仿宋_GB2312"/>
          <w:kern w:val="32"/>
          <w:sz w:val="32"/>
          <w:szCs w:val="32"/>
          <w:highlight w:val="none"/>
          <w:lang w:val="en-US" w:eastAsia="zh-CN" w:bidi="ar"/>
        </w:rPr>
        <w:t>。</w:t>
      </w:r>
    </w:p>
    <w:p w14:paraId="67484ADB">
      <w:pPr>
        <w:pStyle w:val="5"/>
        <w:keepNext w:val="0"/>
        <w:keepLines w:val="0"/>
        <w:widowControl/>
        <w:suppressLineNumbers w:val="0"/>
        <w:autoSpaceDE w:val="0"/>
        <w:autoSpaceDN/>
        <w:spacing w:before="0" w:beforeLines="0" w:beforeAutospacing="0" w:after="0" w:afterLines="0" w:afterAutospacing="0" w:line="560" w:lineRule="exact"/>
        <w:ind w:left="0" w:right="0" w:firstLine="640" w:firstLineChars="200"/>
        <w:jc w:val="both"/>
        <w:outlineLvl w:val="0"/>
        <w:rPr>
          <w:sz w:val="32"/>
          <w:szCs w:val="32"/>
          <w:highlight w:val="none"/>
        </w:rPr>
      </w:pPr>
      <w:r>
        <w:rPr>
          <w:rFonts w:ascii="黑体" w:hAnsi="宋体" w:eastAsia="黑体" w:cs="黑体"/>
          <w:i w:val="0"/>
          <w:iCs w:val="0"/>
          <w:caps w:val="0"/>
          <w:color w:val="000000"/>
          <w:spacing w:val="0"/>
          <w:kern w:val="0"/>
          <w:sz w:val="32"/>
          <w:szCs w:val="32"/>
          <w:highlight w:val="none"/>
          <w:lang w:val="en-US" w:eastAsia="zh-CN" w:bidi="ar"/>
        </w:rPr>
        <w:t>二、起草过程</w:t>
      </w:r>
    </w:p>
    <w:p w14:paraId="193A2936">
      <w:pPr>
        <w:keepNext w:val="0"/>
        <w:keepLines w:val="0"/>
        <w:widowControl/>
        <w:suppressLineNumbers w:val="0"/>
        <w:spacing w:before="0" w:beforeLines="0" w:beforeAutospacing="0" w:after="0" w:afterLines="0" w:afterAutospacing="0" w:line="560" w:lineRule="exact"/>
        <w:ind w:left="0" w:right="0" w:firstLine="640" w:firstLineChars="200"/>
        <w:jc w:val="both"/>
        <w:rPr>
          <w:rFonts w:hint="eastAsia" w:ascii="仿宋_GB2312" w:hAnsi="宋体" w:eastAsia="仿宋_GB2312" w:cs="仿宋_GB2312"/>
          <w:strike w:val="0"/>
          <w:snapToGrid w:val="0"/>
          <w:color w:val="auto"/>
          <w:kern w:val="2"/>
          <w:sz w:val="32"/>
          <w:szCs w:val="32"/>
          <w:highlight w:val="none"/>
          <w:lang w:val="en-US" w:eastAsia="zh-CN" w:bidi="ar"/>
        </w:rPr>
      </w:pPr>
      <w:r>
        <w:rPr>
          <w:rFonts w:hint="eastAsia" w:ascii="仿宋_GB2312" w:hAnsi="宋体" w:eastAsia="仿宋_GB2312" w:cs="仿宋_GB2312"/>
          <w:strike w:val="0"/>
          <w:snapToGrid w:val="0"/>
          <w:color w:val="auto"/>
          <w:kern w:val="2"/>
          <w:sz w:val="32"/>
          <w:szCs w:val="32"/>
          <w:highlight w:val="none"/>
          <w:lang w:val="en-US" w:eastAsia="zh-CN" w:bidi="ar"/>
        </w:rPr>
        <w:t>《</w:t>
      </w:r>
      <w:r>
        <w:rPr>
          <w:rFonts w:hint="eastAsia" w:ascii="仿宋_GB2312" w:hAnsi="仿宋_GB2312" w:cs="仿宋_GB2312"/>
          <w:color w:val="auto"/>
          <w:spacing w:val="0"/>
          <w:sz w:val="32"/>
          <w:szCs w:val="32"/>
          <w:highlight w:val="none"/>
          <w:lang w:val="en-US" w:eastAsia="zh-CN" w:bidi="ar"/>
        </w:rPr>
        <w:t>规定</w:t>
      </w:r>
      <w:r>
        <w:rPr>
          <w:rFonts w:hint="eastAsia" w:ascii="仿宋_GB2312" w:hAnsi="宋体" w:eastAsia="仿宋_GB2312" w:cs="仿宋_GB2312"/>
          <w:strike w:val="0"/>
          <w:snapToGrid w:val="0"/>
          <w:color w:val="auto"/>
          <w:kern w:val="2"/>
          <w:sz w:val="32"/>
          <w:szCs w:val="32"/>
          <w:highlight w:val="none"/>
          <w:lang w:val="en-US" w:eastAsia="zh-CN" w:bidi="ar"/>
        </w:rPr>
        <w:t>》起草工作过程中，我们主要开展了以下工作：</w:t>
      </w:r>
    </w:p>
    <w:p w14:paraId="6BB21210">
      <w:pPr>
        <w:keepNext w:val="0"/>
        <w:keepLines w:val="0"/>
        <w:widowControl/>
        <w:numPr>
          <w:ilvl w:val="-1"/>
          <w:numId w:val="0"/>
        </w:numPr>
        <w:suppressLineNumbers w:val="0"/>
        <w:spacing w:before="0" w:beforeLines="0" w:beforeAutospacing="0" w:after="0" w:afterLines="0" w:afterAutospacing="0" w:line="560" w:lineRule="exact"/>
        <w:ind w:left="0" w:leftChars="0" w:right="0" w:firstLine="640" w:firstLineChars="200"/>
        <w:jc w:val="both"/>
        <w:rPr>
          <w:rFonts w:hint="eastAsia" w:ascii="仿宋_GB2312" w:cs="仿宋_GB2312"/>
          <w:snapToGrid w:val="0"/>
          <w:color w:val="auto"/>
          <w:kern w:val="2"/>
          <w:sz w:val="32"/>
          <w:szCs w:val="32"/>
          <w:highlight w:val="cyan"/>
          <w:lang w:val="en-US" w:eastAsia="zh-CN" w:bidi="ar"/>
        </w:rPr>
      </w:pPr>
      <w:r>
        <w:rPr>
          <w:rFonts w:hint="eastAsia" w:ascii="仿宋_GB2312" w:hAnsi="宋体" w:eastAsia="仿宋_GB2312" w:cs="仿宋_GB2312"/>
          <w:strike w:val="0"/>
          <w:snapToGrid w:val="0"/>
          <w:color w:val="auto"/>
          <w:kern w:val="2"/>
          <w:sz w:val="32"/>
          <w:szCs w:val="32"/>
          <w:highlight w:val="none"/>
          <w:lang w:val="en-US" w:eastAsia="zh-CN" w:bidi="ar"/>
        </w:rPr>
        <w:t>一是调研梳理全市餐厨废弃油脂产生、收集、运输、处理等等基本情况。二是组织多轮专题座谈研讨，邀请行业专家、</w:t>
      </w:r>
      <w:r>
        <w:rPr>
          <w:rFonts w:hint="eastAsia" w:ascii="仿宋_GB2312" w:cs="仿宋_GB2312"/>
          <w:strike w:val="0"/>
          <w:snapToGrid w:val="0"/>
          <w:color w:val="auto"/>
          <w:kern w:val="2"/>
          <w:sz w:val="32"/>
          <w:szCs w:val="32"/>
          <w:highlight w:val="none"/>
          <w:lang w:val="en-US" w:eastAsia="zh-CN" w:bidi="ar"/>
        </w:rPr>
        <w:t>行业协会、</w:t>
      </w:r>
      <w:r>
        <w:rPr>
          <w:rFonts w:hint="eastAsia" w:ascii="仿宋_GB2312" w:hAnsi="仿宋_GB2312" w:cs="仿宋_GB2312"/>
          <w:snapToGrid w:val="0"/>
          <w:color w:val="auto"/>
          <w:kern w:val="32"/>
          <w:sz w:val="32"/>
          <w:szCs w:val="32"/>
          <w:highlight w:val="none"/>
          <w:lang w:eastAsia="zh-CN"/>
        </w:rPr>
        <w:t>餐饮企业</w:t>
      </w:r>
      <w:r>
        <w:rPr>
          <w:rFonts w:hint="eastAsia" w:ascii="仿宋_GB2312" w:cs="仿宋_GB2312"/>
          <w:snapToGrid w:val="0"/>
          <w:color w:val="auto"/>
          <w:kern w:val="2"/>
          <w:sz w:val="32"/>
          <w:szCs w:val="32"/>
          <w:highlight w:val="none"/>
          <w:lang w:val="en-US" w:eastAsia="zh-CN" w:bidi="ar"/>
        </w:rPr>
        <w:t>、</w:t>
      </w:r>
      <w:r>
        <w:rPr>
          <w:rFonts w:hint="eastAsia" w:ascii="仿宋_GB2312" w:hAnsi="仿宋_GB2312" w:cs="仿宋_GB2312"/>
          <w:snapToGrid w:val="0"/>
          <w:color w:val="auto"/>
          <w:kern w:val="32"/>
          <w:sz w:val="32"/>
          <w:szCs w:val="32"/>
          <w:highlight w:val="none"/>
          <w:lang w:eastAsia="zh-CN"/>
        </w:rPr>
        <w:t>收运单位、处理设施</w:t>
      </w:r>
      <w:r>
        <w:rPr>
          <w:rFonts w:hint="eastAsia" w:ascii="仿宋_GB2312" w:hAnsi="宋体" w:eastAsia="仿宋_GB2312" w:cs="仿宋_GB2312"/>
          <w:strike w:val="0"/>
          <w:snapToGrid w:val="0"/>
          <w:color w:val="auto"/>
          <w:kern w:val="2"/>
          <w:sz w:val="32"/>
          <w:szCs w:val="32"/>
          <w:highlight w:val="none"/>
          <w:lang w:val="en-US" w:eastAsia="zh-CN" w:bidi="ar"/>
        </w:rPr>
        <w:t>代表交流建言。三是充分借鉴上海、广州、深圳、重庆等城市餐厨废弃油脂管理做法。四是书面征求市级相关部门、各区及重点市场主体意见建议，充分吸纳合理诉求</w:t>
      </w:r>
      <w:r>
        <w:rPr>
          <w:rFonts w:hint="eastAsia" w:ascii="仿宋_GB2312" w:cs="仿宋_GB2312"/>
          <w:strike w:val="0"/>
          <w:snapToGrid w:val="0"/>
          <w:color w:val="auto"/>
          <w:kern w:val="2"/>
          <w:sz w:val="32"/>
          <w:szCs w:val="32"/>
          <w:highlight w:val="none"/>
          <w:lang w:val="en-US" w:eastAsia="zh-CN" w:bidi="ar"/>
        </w:rPr>
        <w:t>。</w:t>
      </w:r>
    </w:p>
    <w:p w14:paraId="2AD8270A">
      <w:pPr>
        <w:keepNext w:val="0"/>
        <w:keepLines w:val="0"/>
        <w:widowControl w:val="0"/>
        <w:suppressLineNumbers w:val="0"/>
        <w:autoSpaceDE w:val="0"/>
        <w:autoSpaceDN/>
        <w:spacing w:before="0" w:beforeLines="0" w:beforeAutospacing="0" w:after="0" w:afterLines="0" w:afterAutospacing="0" w:line="560" w:lineRule="exact"/>
        <w:ind w:left="0" w:leftChars="0" w:right="0" w:rightChars="0" w:firstLine="640" w:firstLineChars="200"/>
        <w:jc w:val="both"/>
        <w:outlineLvl w:val="0"/>
        <w:rPr>
          <w:highlight w:val="none"/>
        </w:rPr>
      </w:pPr>
      <w:r>
        <w:rPr>
          <w:rFonts w:hint="default" w:ascii="黑体" w:hAnsi="宋体" w:eastAsia="黑体" w:cs="黑体"/>
          <w:snapToGrid w:val="0"/>
          <w:kern w:val="2"/>
          <w:sz w:val="32"/>
          <w:szCs w:val="32"/>
          <w:highlight w:val="none"/>
          <w:lang w:val="en-US" w:eastAsia="zh-CN" w:bidi="ar"/>
        </w:rPr>
        <w:t>三、文件主要内容</w:t>
      </w:r>
    </w:p>
    <w:p w14:paraId="22D32706">
      <w:pPr>
        <w:keepNext w:val="0"/>
        <w:keepLines w:val="0"/>
        <w:pageBreakBefore w:val="0"/>
        <w:widowControl w:val="0"/>
        <w:kinsoku/>
        <w:wordWrap/>
        <w:overflowPunct/>
        <w:topLinePunct w:val="0"/>
        <w:autoSpaceDE/>
        <w:autoSpaceDN/>
        <w:bidi w:val="0"/>
        <w:adjustRightInd/>
        <w:snapToGrid/>
        <w:spacing w:beforeLines="0" w:afterLines="0" w:line="560" w:lineRule="exact"/>
        <w:ind w:right="0" w:rightChars="0" w:firstLine="640" w:firstLineChars="200"/>
        <w:jc w:val="both"/>
        <w:textAlignment w:val="auto"/>
        <w:rPr>
          <w:rFonts w:hint="eastAsia" w:ascii="宋体" w:hAnsi="宋体" w:eastAsia="仿宋_GB2312" w:cs="仿宋_GB2312"/>
          <w:snapToGrid w:val="0"/>
          <w:kern w:val="2"/>
          <w:sz w:val="32"/>
          <w:szCs w:val="32"/>
          <w:highlight w:val="none"/>
          <w:shd w:val="clear" w:color="auto" w:fill="auto"/>
          <w:lang w:val="en-US" w:eastAsia="zh" w:bidi="ar"/>
        </w:rPr>
      </w:pPr>
      <w:r>
        <w:rPr>
          <w:rFonts w:hint="eastAsia" w:ascii="宋体" w:hAnsi="宋体" w:eastAsia="仿宋_GB2312" w:cs="仿宋_GB2312"/>
          <w:snapToGrid w:val="0"/>
          <w:kern w:val="2"/>
          <w:sz w:val="32"/>
          <w:szCs w:val="32"/>
          <w:highlight w:val="none"/>
          <w:shd w:val="clear" w:color="auto" w:fill="auto"/>
          <w:lang w:val="en-US" w:eastAsia="zh" w:bidi="ar"/>
        </w:rPr>
        <w:t>《规定》共十</w:t>
      </w:r>
      <w:r>
        <w:rPr>
          <w:rFonts w:hint="eastAsia" w:cs="仿宋_GB2312"/>
          <w:snapToGrid w:val="0"/>
          <w:kern w:val="2"/>
          <w:sz w:val="32"/>
          <w:szCs w:val="32"/>
          <w:highlight w:val="none"/>
          <w:shd w:val="clear" w:color="auto" w:fill="auto"/>
          <w:lang w:val="en-US" w:eastAsia="zh-CN" w:bidi="ar"/>
        </w:rPr>
        <w:t>三</w:t>
      </w:r>
      <w:r>
        <w:rPr>
          <w:rFonts w:hint="eastAsia" w:ascii="宋体" w:hAnsi="宋体" w:eastAsia="仿宋_GB2312" w:cs="仿宋_GB2312"/>
          <w:snapToGrid w:val="0"/>
          <w:kern w:val="2"/>
          <w:sz w:val="32"/>
          <w:szCs w:val="32"/>
          <w:highlight w:val="none"/>
          <w:shd w:val="clear" w:color="auto" w:fill="auto"/>
          <w:lang w:val="en-US" w:eastAsia="zh" w:bidi="ar"/>
        </w:rPr>
        <w:t>条</w:t>
      </w:r>
      <w:r>
        <w:rPr>
          <w:rFonts w:hint="eastAsia" w:ascii="宋体" w:hAnsi="宋体" w:eastAsia="仿宋_GB2312" w:cs="仿宋_GB2312"/>
          <w:snapToGrid w:val="0"/>
          <w:kern w:val="2"/>
          <w:sz w:val="32"/>
          <w:szCs w:val="32"/>
          <w:highlight w:val="none"/>
          <w:shd w:val="clear" w:color="auto" w:fill="auto"/>
          <w:lang w:val="en-US" w:eastAsia="zh-CN" w:bidi="ar"/>
        </w:rPr>
        <w:t>，主要包括</w:t>
      </w:r>
      <w:r>
        <w:rPr>
          <w:rFonts w:hint="eastAsia" w:ascii="宋体" w:hAnsi="宋体" w:eastAsia="仿宋_GB2312" w:cs="仿宋_GB2312"/>
          <w:snapToGrid w:val="0"/>
          <w:kern w:val="2"/>
          <w:sz w:val="32"/>
          <w:szCs w:val="32"/>
          <w:highlight w:val="none"/>
          <w:shd w:val="clear" w:color="auto" w:fill="auto"/>
          <w:lang w:val="en-US" w:eastAsia="zh" w:bidi="ar"/>
        </w:rPr>
        <w:t>适用范围和定义</w:t>
      </w:r>
      <w:r>
        <w:rPr>
          <w:rFonts w:hint="eastAsia" w:ascii="宋体" w:hAnsi="宋体" w:eastAsia="仿宋_GB2312" w:cs="仿宋_GB2312"/>
          <w:snapToGrid w:val="0"/>
          <w:kern w:val="2"/>
          <w:sz w:val="32"/>
          <w:szCs w:val="32"/>
          <w:highlight w:val="none"/>
          <w:shd w:val="clear" w:color="auto" w:fill="auto"/>
          <w:lang w:val="en-US" w:eastAsia="zh-CN" w:bidi="ar"/>
        </w:rPr>
        <w:t>、</w:t>
      </w:r>
      <w:r>
        <w:rPr>
          <w:rFonts w:hint="eastAsia" w:ascii="仿宋_GB2312" w:hAnsi="仿宋_GB2312" w:eastAsia="仿宋_GB2312" w:cs="仿宋_GB2312"/>
          <w:bCs/>
          <w:snapToGrid w:val="0"/>
          <w:sz w:val="32"/>
          <w:szCs w:val="32"/>
          <w:highlight w:val="none"/>
        </w:rPr>
        <w:t>市</w:t>
      </w:r>
      <w:r>
        <w:rPr>
          <w:rFonts w:hint="eastAsia" w:ascii="仿宋_GB2312" w:hAnsi="仿宋_GB2312" w:eastAsia="仿宋_GB2312" w:cs="仿宋_GB2312"/>
          <w:bCs/>
          <w:snapToGrid w:val="0"/>
          <w:sz w:val="32"/>
          <w:szCs w:val="32"/>
          <w:highlight w:val="none"/>
          <w:lang w:val="en-US" w:eastAsia="zh-CN"/>
        </w:rPr>
        <w:t>区两</w:t>
      </w:r>
      <w:r>
        <w:rPr>
          <w:rFonts w:hint="eastAsia" w:ascii="仿宋_GB2312" w:hAnsi="仿宋_GB2312" w:eastAsia="仿宋_GB2312" w:cs="仿宋_GB2312"/>
          <w:bCs/>
          <w:snapToGrid w:val="0"/>
          <w:sz w:val="32"/>
          <w:szCs w:val="32"/>
          <w:highlight w:val="none"/>
        </w:rPr>
        <w:t>级管理部门职责</w:t>
      </w:r>
      <w:r>
        <w:rPr>
          <w:rFonts w:hint="eastAsia" w:ascii="仿宋_GB2312" w:hAnsi="仿宋_GB2312" w:eastAsia="仿宋_GB2312" w:cs="仿宋_GB2312"/>
          <w:bCs/>
          <w:snapToGrid w:val="0"/>
          <w:sz w:val="32"/>
          <w:szCs w:val="32"/>
          <w:highlight w:val="none"/>
          <w:lang w:eastAsia="zh-CN"/>
        </w:rPr>
        <w:t>、</w:t>
      </w:r>
      <w:r>
        <w:rPr>
          <w:rFonts w:hint="eastAsia" w:ascii="仿宋_GB2312" w:hAnsi="仿宋_GB2312" w:eastAsia="仿宋_GB2312" w:cs="仿宋_GB2312"/>
          <w:bCs/>
          <w:snapToGrid w:val="0"/>
          <w:sz w:val="32"/>
          <w:szCs w:val="32"/>
          <w:highlight w:val="none"/>
        </w:rPr>
        <w:t>排放主体责任</w:t>
      </w:r>
      <w:r>
        <w:rPr>
          <w:rFonts w:hint="eastAsia" w:ascii="仿宋_GB2312" w:hAnsi="仿宋_GB2312" w:eastAsia="仿宋_GB2312" w:cs="仿宋_GB2312"/>
          <w:bCs/>
          <w:snapToGrid w:val="0"/>
          <w:sz w:val="32"/>
          <w:szCs w:val="32"/>
          <w:highlight w:val="none"/>
          <w:lang w:eastAsia="zh-CN"/>
        </w:rPr>
        <w:t>、</w:t>
      </w:r>
      <w:r>
        <w:rPr>
          <w:rFonts w:hint="eastAsia" w:ascii="仿宋_GB2312" w:hAnsi="仿宋_GB2312" w:eastAsia="仿宋_GB2312" w:cs="仿宋_GB2312"/>
          <w:bCs/>
          <w:snapToGrid w:val="0"/>
          <w:sz w:val="32"/>
          <w:szCs w:val="32"/>
          <w:highlight w:val="none"/>
        </w:rPr>
        <w:t>收运单位招标</w:t>
      </w:r>
      <w:r>
        <w:rPr>
          <w:rFonts w:hint="eastAsia" w:ascii="仿宋_GB2312" w:hAnsi="仿宋_GB2312" w:eastAsia="仿宋_GB2312" w:cs="仿宋_GB2312"/>
          <w:bCs/>
          <w:snapToGrid w:val="0"/>
          <w:sz w:val="32"/>
          <w:szCs w:val="32"/>
          <w:highlight w:val="none"/>
          <w:lang w:val="en-US" w:eastAsia="zh-CN"/>
        </w:rPr>
        <w:t>和作业</w:t>
      </w:r>
      <w:r>
        <w:rPr>
          <w:rFonts w:hint="eastAsia" w:ascii="仿宋_GB2312" w:hAnsi="仿宋_GB2312" w:eastAsia="仿宋_GB2312" w:cs="仿宋_GB2312"/>
          <w:bCs/>
          <w:snapToGrid w:val="0"/>
          <w:sz w:val="32"/>
          <w:szCs w:val="32"/>
          <w:highlight w:val="none"/>
        </w:rPr>
        <w:t>要求</w:t>
      </w:r>
      <w:r>
        <w:rPr>
          <w:rFonts w:hint="eastAsia" w:ascii="仿宋_GB2312" w:hAnsi="仿宋_GB2312" w:eastAsia="仿宋_GB2312" w:cs="仿宋_GB2312"/>
          <w:bCs/>
          <w:snapToGrid w:val="0"/>
          <w:sz w:val="32"/>
          <w:szCs w:val="32"/>
          <w:highlight w:val="none"/>
          <w:lang w:eastAsia="zh-CN"/>
        </w:rPr>
        <w:t>、</w:t>
      </w:r>
      <w:r>
        <w:rPr>
          <w:rFonts w:hint="eastAsia" w:ascii="仿宋_GB2312" w:hAnsi="仿宋_GB2312" w:eastAsia="仿宋_GB2312" w:cs="仿宋_GB2312"/>
          <w:kern w:val="2"/>
          <w:sz w:val="32"/>
          <w:szCs w:val="32"/>
          <w:highlight w:val="none"/>
          <w:lang w:val="en-US" w:eastAsia="zh-CN" w:bidi="ar-SA"/>
        </w:rPr>
        <w:t>定向收运</w:t>
      </w:r>
      <w:r>
        <w:rPr>
          <w:rFonts w:hint="eastAsia" w:ascii="仿宋_GB2312" w:hAnsi="仿宋_GB2312" w:eastAsia="仿宋_GB2312" w:cs="仿宋_GB2312"/>
          <w:bCs/>
          <w:snapToGrid w:val="0"/>
          <w:kern w:val="2"/>
          <w:sz w:val="32"/>
          <w:szCs w:val="32"/>
          <w:highlight w:val="none"/>
          <w:lang w:val="en-US" w:eastAsia="zh-CN" w:bidi="ar-SA"/>
        </w:rPr>
        <w:t>、</w:t>
      </w:r>
      <w:r>
        <w:rPr>
          <w:rFonts w:hint="eastAsia" w:ascii="宋体" w:hAnsi="宋体" w:eastAsia="仿宋_GB2312" w:cs="仿宋_GB2312"/>
          <w:snapToGrid w:val="0"/>
          <w:kern w:val="2"/>
          <w:sz w:val="32"/>
          <w:szCs w:val="32"/>
          <w:highlight w:val="none"/>
          <w:shd w:val="clear" w:color="auto" w:fill="auto"/>
          <w:lang w:val="en-US" w:eastAsia="zh" w:bidi="ar"/>
        </w:rPr>
        <w:t>处理要求</w:t>
      </w:r>
      <w:r>
        <w:rPr>
          <w:rFonts w:hint="eastAsia" w:ascii="仿宋_GB2312" w:hAnsi="仿宋_GB2312" w:eastAsia="仿宋_GB2312" w:cs="仿宋_GB2312"/>
          <w:kern w:val="0"/>
          <w:sz w:val="32"/>
          <w:szCs w:val="32"/>
          <w:highlight w:val="none"/>
          <w:lang w:val="en-US" w:eastAsia="zh-CN"/>
        </w:rPr>
        <w:t>、</w:t>
      </w:r>
      <w:r>
        <w:rPr>
          <w:rFonts w:hint="eastAsia" w:ascii="仿宋_GB2312" w:hAnsi="仿宋_GB2312" w:eastAsia="仿宋_GB2312" w:cs="仿宋_GB2312"/>
          <w:bCs/>
          <w:snapToGrid w:val="0"/>
          <w:sz w:val="32"/>
          <w:szCs w:val="32"/>
          <w:highlight w:val="none"/>
        </w:rPr>
        <w:t>资源化利用</w:t>
      </w:r>
      <w:r>
        <w:rPr>
          <w:rFonts w:hint="eastAsia" w:ascii="仿宋_GB2312" w:hAnsi="仿宋_GB2312" w:eastAsia="仿宋_GB2312" w:cs="仿宋_GB2312"/>
          <w:bCs/>
          <w:snapToGrid w:val="0"/>
          <w:sz w:val="32"/>
          <w:szCs w:val="32"/>
          <w:highlight w:val="none"/>
          <w:lang w:eastAsia="zh-CN"/>
        </w:rPr>
        <w:t>要求</w:t>
      </w:r>
      <w:r>
        <w:rPr>
          <w:rFonts w:hint="eastAsia" w:ascii="仿宋_GB2312" w:hAnsi="仿宋_GB2312" w:cs="仿宋_GB2312"/>
          <w:bCs/>
          <w:snapToGrid w:val="0"/>
          <w:sz w:val="32"/>
          <w:szCs w:val="32"/>
          <w:highlight w:val="none"/>
          <w:lang w:eastAsia="zh-CN"/>
        </w:rPr>
        <w:t>、建立成效评估机制</w:t>
      </w:r>
      <w:r>
        <w:rPr>
          <w:rFonts w:hint="eastAsia" w:ascii="仿宋_GB2312" w:hAnsi="仿宋_GB2312" w:eastAsia="仿宋_GB2312" w:cs="仿宋_GB2312"/>
          <w:bCs/>
          <w:snapToGrid w:val="0"/>
          <w:sz w:val="32"/>
          <w:szCs w:val="32"/>
          <w:highlight w:val="none"/>
          <w:lang w:val="en-US" w:eastAsia="zh-CN"/>
        </w:rPr>
        <w:t>等内容</w:t>
      </w:r>
      <w:r>
        <w:rPr>
          <w:rFonts w:hint="eastAsia" w:ascii="宋体" w:hAnsi="宋体" w:eastAsia="仿宋_GB2312" w:cs="仿宋_GB2312"/>
          <w:snapToGrid w:val="0"/>
          <w:kern w:val="2"/>
          <w:sz w:val="32"/>
          <w:szCs w:val="32"/>
          <w:highlight w:val="none"/>
          <w:shd w:val="clear" w:color="auto" w:fill="auto"/>
          <w:lang w:val="en-US" w:eastAsia="zh" w:bidi="ar"/>
        </w:rPr>
        <w:t>。</w:t>
      </w:r>
    </w:p>
    <w:p w14:paraId="0A1F7C27">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left="0" w:leftChars="0" w:firstLine="640" w:firstLineChars="200"/>
        <w:jc w:val="both"/>
        <w:textAlignment w:val="auto"/>
        <w:rPr>
          <w:rFonts w:hint="eastAsia" w:ascii="仿宋_GB2312" w:hAnsi="仿宋_GB2312" w:cs="仿宋_GB2312"/>
          <w:color w:val="000000"/>
          <w:kern w:val="2"/>
          <w:sz w:val="32"/>
          <w:szCs w:val="32"/>
          <w:highlight w:val="none"/>
          <w:lang w:eastAsia="zh-CN"/>
        </w:rPr>
      </w:pPr>
      <w:r>
        <w:rPr>
          <w:rFonts w:hint="eastAsia" w:ascii="仿宋_GB2312" w:hAnsi="仿宋_GB2312" w:eastAsia="仿宋_GB2312" w:cs="仿宋_GB2312"/>
          <w:color w:val="000000"/>
          <w:kern w:val="2"/>
          <w:sz w:val="32"/>
          <w:szCs w:val="32"/>
          <w:highlight w:val="none"/>
          <w:lang w:eastAsia="zh-CN"/>
        </w:rPr>
        <w:t>第一条规定了目的和依据。</w:t>
      </w:r>
    </w:p>
    <w:p w14:paraId="78D4A0E1">
      <w:pPr>
        <w:keepNext w:val="0"/>
        <w:keepLines w:val="0"/>
        <w:pageBreakBefore w:val="0"/>
        <w:widowControl w:val="0"/>
        <w:kinsoku/>
        <w:wordWrap/>
        <w:overflowPunct/>
        <w:topLinePunct w:val="0"/>
        <w:autoSpaceDE/>
        <w:autoSpaceDN/>
        <w:bidi w:val="0"/>
        <w:adjustRightInd w:val="0"/>
        <w:snapToGrid/>
        <w:spacing w:beforeLines="0" w:afterLines="0" w:line="560" w:lineRule="exact"/>
        <w:ind w:firstLine="640" w:firstLineChars="200"/>
        <w:textAlignment w:val="auto"/>
        <w:rPr>
          <w:rFonts w:hint="eastAsia" w:ascii="仿宋_GB2312" w:hAnsi="仿宋_GB2312" w:cs="仿宋_GB2312"/>
          <w:color w:val="000000"/>
          <w:kern w:val="2"/>
          <w:sz w:val="32"/>
          <w:szCs w:val="32"/>
          <w:highlight w:val="none"/>
          <w:lang w:eastAsia="zh-CN"/>
        </w:rPr>
      </w:pPr>
      <w:r>
        <w:rPr>
          <w:rFonts w:hint="eastAsia" w:ascii="仿宋_GB2312" w:hAnsi="仿宋_GB2312" w:eastAsia="仿宋_GB2312" w:cs="仿宋_GB2312"/>
          <w:color w:val="000000"/>
          <w:kern w:val="2"/>
          <w:sz w:val="32"/>
          <w:szCs w:val="32"/>
          <w:highlight w:val="none"/>
          <w:lang w:eastAsia="zh-CN"/>
        </w:rPr>
        <w:t>第二条</w:t>
      </w:r>
      <w:r>
        <w:rPr>
          <w:rFonts w:hint="eastAsia" w:ascii="仿宋_GB2312" w:hAnsi="仿宋_GB2312" w:cs="仿宋_GB2312"/>
          <w:b w:val="0"/>
          <w:bCs w:val="0"/>
          <w:color w:val="000000"/>
          <w:kern w:val="2"/>
          <w:sz w:val="32"/>
          <w:szCs w:val="32"/>
          <w:highlight w:val="none"/>
          <w:lang w:val="en-US" w:eastAsia="zh-CN" w:bidi="ar-SA"/>
        </w:rPr>
        <w:t>规定了</w:t>
      </w:r>
      <w:r>
        <w:rPr>
          <w:rFonts w:hint="eastAsia" w:ascii="仿宋_GB2312" w:hAnsi="仿宋_GB2312" w:eastAsia="仿宋_GB2312" w:cs="仿宋_GB2312"/>
          <w:color w:val="000000"/>
          <w:kern w:val="2"/>
          <w:sz w:val="32"/>
          <w:szCs w:val="32"/>
          <w:highlight w:val="none"/>
          <w:lang w:eastAsia="zh-CN"/>
        </w:rPr>
        <w:t>适用范围和定义</w:t>
      </w:r>
      <w:r>
        <w:rPr>
          <w:rFonts w:hint="eastAsia" w:ascii="仿宋_GB2312" w:hAnsi="仿宋_GB2312" w:cs="仿宋_GB2312"/>
          <w:color w:val="000000"/>
          <w:kern w:val="2"/>
          <w:sz w:val="32"/>
          <w:szCs w:val="32"/>
          <w:highlight w:val="none"/>
          <w:lang w:eastAsia="zh-CN"/>
        </w:rPr>
        <w:t>。</w:t>
      </w:r>
    </w:p>
    <w:p w14:paraId="7B42987B">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b w:val="0"/>
          <w:bCs w:val="0"/>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第三条</w:t>
      </w:r>
      <w:r>
        <w:rPr>
          <w:rFonts w:hint="eastAsia" w:ascii="仿宋_GB2312" w:hAnsi="仿宋_GB2312" w:cs="仿宋_GB2312"/>
          <w:b w:val="0"/>
          <w:bCs w:val="0"/>
          <w:color w:val="000000"/>
          <w:kern w:val="2"/>
          <w:sz w:val="32"/>
          <w:szCs w:val="32"/>
          <w:highlight w:val="none"/>
          <w:lang w:val="en-US" w:eastAsia="zh-CN" w:bidi="ar-SA"/>
        </w:rPr>
        <w:t>规定了</w:t>
      </w:r>
      <w:r>
        <w:rPr>
          <w:rFonts w:hint="eastAsia" w:ascii="仿宋_GB2312" w:hAnsi="仿宋_GB2312" w:eastAsia="仿宋_GB2312" w:cs="仿宋_GB2312"/>
          <w:b w:val="0"/>
          <w:bCs w:val="0"/>
          <w:color w:val="000000"/>
          <w:kern w:val="2"/>
          <w:sz w:val="32"/>
          <w:szCs w:val="32"/>
          <w:highlight w:val="none"/>
          <w:lang w:val="en-US" w:eastAsia="zh-CN" w:bidi="ar-SA"/>
        </w:rPr>
        <w:t>市级管理部门职责</w:t>
      </w:r>
      <w:r>
        <w:rPr>
          <w:rFonts w:hint="eastAsia" w:ascii="仿宋_GB2312" w:hAnsi="仿宋_GB2312" w:cs="仿宋_GB2312"/>
          <w:b w:val="0"/>
          <w:bCs w:val="0"/>
          <w:color w:val="000000"/>
          <w:kern w:val="2"/>
          <w:sz w:val="32"/>
          <w:szCs w:val="32"/>
          <w:highlight w:val="none"/>
          <w:lang w:val="en-US" w:eastAsia="zh-CN" w:bidi="ar-SA"/>
        </w:rPr>
        <w:t>。其中</w:t>
      </w:r>
      <w:r>
        <w:rPr>
          <w:rFonts w:hint="eastAsia" w:ascii="仿宋_GB2312" w:hAnsi="仿宋_GB2312" w:eastAsia="仿宋_GB2312" w:cs="仿宋_GB2312"/>
          <w:b w:val="0"/>
          <w:bCs w:val="0"/>
          <w:snapToGrid/>
          <w:color w:val="000000"/>
          <w:sz w:val="32"/>
          <w:szCs w:val="32"/>
          <w:highlight w:val="none"/>
        </w:rPr>
        <w:t>市城市管理委负责统筹协调、督促指导</w:t>
      </w:r>
      <w:r>
        <w:rPr>
          <w:rFonts w:hint="eastAsia" w:ascii="仿宋_GB2312" w:hAnsi="仿宋_GB2312" w:eastAsia="仿宋_GB2312" w:cs="仿宋_GB2312"/>
          <w:b w:val="0"/>
          <w:bCs w:val="0"/>
          <w:snapToGrid/>
          <w:color w:val="000000"/>
          <w:sz w:val="32"/>
          <w:szCs w:val="32"/>
          <w:highlight w:val="none"/>
          <w:lang w:eastAsia="zh-CN"/>
        </w:rPr>
        <w:t>本市</w:t>
      </w:r>
      <w:r>
        <w:rPr>
          <w:rFonts w:hint="eastAsia" w:ascii="仿宋_GB2312" w:hAnsi="仿宋_GB2312" w:eastAsia="仿宋_GB2312" w:cs="仿宋_GB2312"/>
          <w:b w:val="0"/>
          <w:bCs w:val="0"/>
          <w:snapToGrid/>
          <w:color w:val="000000"/>
          <w:sz w:val="32"/>
          <w:szCs w:val="32"/>
          <w:highlight w:val="none"/>
        </w:rPr>
        <w:t>餐厨废弃油脂排放登记、收运、处</w:t>
      </w:r>
      <w:r>
        <w:rPr>
          <w:rFonts w:hint="eastAsia" w:ascii="仿宋_GB2312" w:hAnsi="仿宋_GB2312" w:eastAsia="仿宋_GB2312" w:cs="仿宋_GB2312"/>
          <w:b w:val="0"/>
          <w:bCs w:val="0"/>
          <w:snapToGrid/>
          <w:color w:val="000000"/>
          <w:sz w:val="32"/>
          <w:szCs w:val="32"/>
          <w:highlight w:val="none"/>
          <w:lang w:eastAsia="zh-CN"/>
        </w:rPr>
        <w:t>理和利用</w:t>
      </w:r>
      <w:r>
        <w:rPr>
          <w:rFonts w:hint="eastAsia" w:ascii="仿宋_GB2312" w:hAnsi="仿宋_GB2312" w:eastAsia="仿宋_GB2312" w:cs="仿宋_GB2312"/>
          <w:b w:val="0"/>
          <w:bCs w:val="0"/>
          <w:snapToGrid/>
          <w:color w:val="000000"/>
          <w:sz w:val="32"/>
          <w:szCs w:val="32"/>
          <w:highlight w:val="none"/>
        </w:rPr>
        <w:t>的监督管理工作</w:t>
      </w:r>
      <w:r>
        <w:rPr>
          <w:rFonts w:hint="eastAsia" w:ascii="仿宋_GB2312" w:hAnsi="仿宋_GB2312" w:cs="仿宋_GB2312"/>
          <w:b w:val="0"/>
          <w:bCs w:val="0"/>
          <w:snapToGrid/>
          <w:color w:val="000000"/>
          <w:sz w:val="32"/>
          <w:szCs w:val="32"/>
          <w:highlight w:val="none"/>
          <w:lang w:eastAsia="zh-CN"/>
        </w:rPr>
        <w:t>；</w:t>
      </w:r>
      <w:r>
        <w:rPr>
          <w:rFonts w:hint="eastAsia" w:ascii="仿宋_GB2312" w:hAnsi="仿宋_GB2312" w:eastAsia="仿宋_GB2312" w:cs="仿宋_GB2312"/>
          <w:b w:val="0"/>
          <w:bCs w:val="0"/>
          <w:snapToGrid/>
          <w:color w:val="000000"/>
          <w:sz w:val="32"/>
          <w:szCs w:val="32"/>
          <w:highlight w:val="none"/>
        </w:rPr>
        <w:t>市市场监管局负责将餐厨废弃油脂的排放和流向纳入对餐饮服务单位的日常</w:t>
      </w:r>
      <w:r>
        <w:rPr>
          <w:rFonts w:hint="eastAsia" w:ascii="仿宋_GB2312" w:hAnsi="仿宋_GB2312" w:eastAsia="仿宋_GB2312" w:cs="仿宋_GB2312"/>
          <w:b w:val="0"/>
          <w:bCs w:val="0"/>
          <w:snapToGrid/>
          <w:color w:val="000000"/>
          <w:sz w:val="32"/>
          <w:szCs w:val="32"/>
          <w:highlight w:val="none"/>
          <w:lang w:val="en-US" w:eastAsia="zh-CN"/>
        </w:rPr>
        <w:t>监督</w:t>
      </w:r>
      <w:r>
        <w:rPr>
          <w:rFonts w:hint="eastAsia" w:ascii="仿宋_GB2312" w:hAnsi="仿宋_GB2312" w:eastAsia="仿宋_GB2312" w:cs="仿宋_GB2312"/>
          <w:b w:val="0"/>
          <w:bCs w:val="0"/>
          <w:snapToGrid/>
          <w:color w:val="000000"/>
          <w:sz w:val="32"/>
          <w:szCs w:val="32"/>
          <w:highlight w:val="none"/>
        </w:rPr>
        <w:t>管理范围，指导区市场监管部门依法查处生产、销售、使用以餐厨废弃油脂为原料的食用油的违法行为</w:t>
      </w:r>
      <w:r>
        <w:rPr>
          <w:rFonts w:hint="eastAsia" w:ascii="仿宋_GB2312" w:hAnsi="仿宋_GB2312" w:cs="仿宋_GB2312"/>
          <w:b w:val="0"/>
          <w:bCs w:val="0"/>
          <w:snapToGrid/>
          <w:color w:val="000000"/>
          <w:sz w:val="32"/>
          <w:szCs w:val="32"/>
          <w:highlight w:val="none"/>
          <w:lang w:eastAsia="zh-CN"/>
        </w:rPr>
        <w:t>；</w:t>
      </w:r>
      <w:r>
        <w:rPr>
          <w:rFonts w:hint="eastAsia" w:ascii="仿宋_GB2312" w:hAnsi="仿宋_GB2312" w:eastAsia="仿宋_GB2312" w:cs="仿宋_GB2312"/>
          <w:b w:val="0"/>
          <w:bCs w:val="0"/>
          <w:snapToGrid/>
          <w:color w:val="000000"/>
          <w:kern w:val="2"/>
          <w:sz w:val="32"/>
          <w:szCs w:val="32"/>
          <w:highlight w:val="none"/>
          <w:lang w:val="en-US" w:eastAsia="zh-CN" w:bidi="ar-SA"/>
        </w:rPr>
        <w:t>市商务局负责宣传引导餐饮服务单位将餐厨废弃油脂交由辖区确定的收运单位</w:t>
      </w:r>
      <w:r>
        <w:rPr>
          <w:rFonts w:hint="eastAsia" w:ascii="仿宋_GB2312" w:hAnsi="仿宋_GB2312" w:cs="仿宋_GB2312"/>
          <w:b w:val="0"/>
          <w:bCs w:val="0"/>
          <w:snapToGrid/>
          <w:color w:val="000000"/>
          <w:kern w:val="2"/>
          <w:sz w:val="32"/>
          <w:szCs w:val="32"/>
          <w:highlight w:val="none"/>
          <w:lang w:val="en-US" w:eastAsia="zh-CN" w:bidi="ar-SA"/>
        </w:rPr>
        <w:t>；</w:t>
      </w:r>
      <w:r>
        <w:rPr>
          <w:rFonts w:hint="eastAsia" w:ascii="仿宋_GB2312" w:hAnsi="仿宋_GB2312" w:eastAsia="仿宋_GB2312" w:cs="仿宋_GB2312"/>
          <w:b w:val="0"/>
          <w:bCs w:val="0"/>
          <w:snapToGrid/>
          <w:color w:val="000000"/>
          <w:sz w:val="32"/>
          <w:szCs w:val="32"/>
          <w:highlight w:val="none"/>
        </w:rPr>
        <w:t>市生态环境局负责指导区生态环境部门依法查处厨余垃圾处理设施</w:t>
      </w:r>
      <w:r>
        <w:rPr>
          <w:rFonts w:hint="eastAsia" w:ascii="仿宋_GB2312" w:hAnsi="仿宋_GB2312" w:eastAsia="仿宋_GB2312" w:cs="仿宋_GB2312"/>
          <w:b w:val="0"/>
          <w:bCs w:val="0"/>
          <w:snapToGrid/>
          <w:color w:val="000000"/>
          <w:sz w:val="32"/>
          <w:szCs w:val="32"/>
          <w:highlight w:val="none"/>
          <w:lang w:eastAsia="zh-CN"/>
        </w:rPr>
        <w:t>运行管理单位</w:t>
      </w:r>
      <w:r>
        <w:rPr>
          <w:rFonts w:hint="eastAsia" w:ascii="仿宋_GB2312" w:hAnsi="仿宋_GB2312" w:eastAsia="仿宋_GB2312" w:cs="仿宋_GB2312"/>
          <w:b w:val="0"/>
          <w:bCs w:val="0"/>
          <w:snapToGrid/>
          <w:color w:val="000000"/>
          <w:sz w:val="32"/>
          <w:szCs w:val="32"/>
          <w:highlight w:val="none"/>
        </w:rPr>
        <w:t>超标排放污染物等环境违法行为</w:t>
      </w:r>
      <w:r>
        <w:rPr>
          <w:rFonts w:hint="eastAsia" w:ascii="仿宋_GB2312" w:hAnsi="仿宋_GB2312" w:cs="仿宋_GB2312"/>
          <w:b w:val="0"/>
          <w:bCs w:val="0"/>
          <w:snapToGrid/>
          <w:color w:val="000000"/>
          <w:sz w:val="32"/>
          <w:szCs w:val="32"/>
          <w:highlight w:val="none"/>
          <w:lang w:eastAsia="zh-CN"/>
        </w:rPr>
        <w:t>；</w:t>
      </w:r>
      <w:r>
        <w:rPr>
          <w:rFonts w:hint="eastAsia" w:ascii="仿宋_GB2312" w:hAnsi="仿宋_GB2312" w:eastAsia="仿宋_GB2312" w:cs="仿宋_GB2312"/>
          <w:b w:val="0"/>
          <w:bCs w:val="0"/>
          <w:snapToGrid/>
          <w:color w:val="000000"/>
          <w:sz w:val="32"/>
          <w:szCs w:val="32"/>
          <w:highlight w:val="none"/>
        </w:rPr>
        <w:t>市城管执法局负责指导各区城管执法部门督促属地街道</w:t>
      </w:r>
      <w:r>
        <w:rPr>
          <w:rFonts w:hint="eastAsia" w:ascii="仿宋_GB2312" w:hAnsi="仿宋_GB2312" w:cs="仿宋_GB2312"/>
          <w:b w:val="0"/>
          <w:bCs w:val="0"/>
          <w:snapToGrid/>
          <w:color w:val="000000"/>
          <w:sz w:val="32"/>
          <w:szCs w:val="32"/>
          <w:highlight w:val="none"/>
          <w:lang w:eastAsia="zh"/>
        </w:rPr>
        <w:t>（</w:t>
      </w:r>
      <w:r>
        <w:rPr>
          <w:rFonts w:hint="eastAsia" w:ascii="仿宋_GB2312" w:hAnsi="仿宋_GB2312" w:eastAsia="仿宋_GB2312" w:cs="仿宋_GB2312"/>
          <w:b w:val="0"/>
          <w:bCs w:val="0"/>
          <w:snapToGrid/>
          <w:color w:val="000000"/>
          <w:sz w:val="32"/>
          <w:szCs w:val="32"/>
          <w:highlight w:val="none"/>
        </w:rPr>
        <w:t>乡镇</w:t>
      </w:r>
      <w:r>
        <w:rPr>
          <w:rFonts w:hint="eastAsia" w:ascii="仿宋_GB2312" w:hAnsi="仿宋_GB2312" w:cs="仿宋_GB2312"/>
          <w:b w:val="0"/>
          <w:bCs w:val="0"/>
          <w:snapToGrid/>
          <w:color w:val="000000"/>
          <w:sz w:val="32"/>
          <w:szCs w:val="32"/>
          <w:highlight w:val="none"/>
          <w:lang w:eastAsia="zh"/>
        </w:rPr>
        <w:t>）</w:t>
      </w:r>
      <w:r>
        <w:rPr>
          <w:rFonts w:hint="eastAsia" w:ascii="仿宋_GB2312" w:hAnsi="仿宋_GB2312" w:eastAsia="仿宋_GB2312" w:cs="仿宋_GB2312"/>
          <w:b w:val="0"/>
          <w:bCs w:val="0"/>
          <w:snapToGrid/>
          <w:color w:val="000000"/>
          <w:sz w:val="32"/>
          <w:szCs w:val="32"/>
          <w:highlight w:val="none"/>
        </w:rPr>
        <w:t>综合行政执法队依法查处餐饮服务单位未办理生活垃圾排放登记或者登记信息虚假、交由无资质的单位和个人收运处置，查处无资质单位和个人擅自收运处置厨余垃圾，查处收运单位随意倾倒、丢弃、遗撒、堆放生活垃圾等违法行为</w:t>
      </w:r>
      <w:r>
        <w:rPr>
          <w:rFonts w:hint="eastAsia" w:ascii="仿宋_GB2312" w:hAnsi="仿宋_GB2312" w:cs="仿宋_GB2312"/>
          <w:b w:val="0"/>
          <w:bCs w:val="0"/>
          <w:snapToGrid/>
          <w:color w:val="000000"/>
          <w:sz w:val="32"/>
          <w:szCs w:val="32"/>
          <w:highlight w:val="none"/>
          <w:lang w:eastAsia="zh-CN"/>
        </w:rPr>
        <w:t>；市</w:t>
      </w:r>
      <w:r>
        <w:rPr>
          <w:rFonts w:hint="eastAsia" w:ascii="仿宋_GB2312" w:hAnsi="仿宋_GB2312" w:cs="仿宋_GB2312"/>
          <w:b w:val="0"/>
          <w:bCs w:val="0"/>
          <w:snapToGrid/>
          <w:color w:val="000000"/>
          <w:sz w:val="32"/>
          <w:szCs w:val="32"/>
          <w:highlight w:val="none"/>
          <w:lang w:eastAsia="zh"/>
        </w:rPr>
        <w:t>发展改革</w:t>
      </w:r>
      <w:r>
        <w:rPr>
          <w:rFonts w:hint="eastAsia" w:ascii="仿宋_GB2312" w:hAnsi="仿宋_GB2312" w:eastAsia="仿宋_GB2312" w:cs="仿宋_GB2312"/>
          <w:b w:val="0"/>
          <w:bCs w:val="0"/>
          <w:snapToGrid/>
          <w:color w:val="000000"/>
          <w:sz w:val="32"/>
          <w:szCs w:val="32"/>
          <w:highlight w:val="none"/>
        </w:rPr>
        <w:t>、</w:t>
      </w:r>
      <w:r>
        <w:rPr>
          <w:rFonts w:hint="eastAsia" w:ascii="仿宋_GB2312" w:hAnsi="仿宋_GB2312" w:cs="仿宋_GB2312"/>
          <w:b w:val="0"/>
          <w:bCs w:val="0"/>
          <w:snapToGrid/>
          <w:color w:val="000000"/>
          <w:sz w:val="32"/>
          <w:szCs w:val="32"/>
          <w:highlight w:val="none"/>
          <w:lang w:eastAsia="zh"/>
        </w:rPr>
        <w:t>经济和信息化</w:t>
      </w:r>
      <w:r>
        <w:rPr>
          <w:rFonts w:hint="eastAsia" w:ascii="仿宋_GB2312" w:hAnsi="仿宋_GB2312" w:eastAsia="仿宋_GB2312" w:cs="仿宋_GB2312"/>
          <w:b w:val="0"/>
          <w:bCs w:val="0"/>
          <w:snapToGrid/>
          <w:color w:val="000000"/>
          <w:sz w:val="32"/>
          <w:szCs w:val="32"/>
          <w:highlight w:val="none"/>
        </w:rPr>
        <w:t>、公安等部门按照各自职责，协同实施本</w:t>
      </w:r>
      <w:r>
        <w:rPr>
          <w:rFonts w:hint="eastAsia" w:ascii="仿宋_GB2312" w:hAnsi="仿宋_GB2312" w:cs="仿宋_GB2312"/>
          <w:b w:val="0"/>
          <w:bCs w:val="0"/>
          <w:snapToGrid/>
          <w:color w:val="000000"/>
          <w:sz w:val="32"/>
          <w:szCs w:val="32"/>
          <w:highlight w:val="none"/>
          <w:lang w:eastAsia="zh-CN"/>
        </w:rPr>
        <w:t>《</w:t>
      </w:r>
      <w:r>
        <w:rPr>
          <w:rFonts w:hint="eastAsia" w:ascii="仿宋_GB2312" w:hAnsi="仿宋_GB2312" w:eastAsia="仿宋_GB2312" w:cs="仿宋_GB2312"/>
          <w:b w:val="0"/>
          <w:bCs w:val="0"/>
          <w:snapToGrid/>
          <w:color w:val="000000"/>
          <w:sz w:val="32"/>
          <w:szCs w:val="32"/>
          <w:highlight w:val="none"/>
        </w:rPr>
        <w:t>规定</w:t>
      </w:r>
      <w:r>
        <w:rPr>
          <w:rFonts w:hint="eastAsia" w:ascii="仿宋_GB2312" w:hAnsi="仿宋_GB2312" w:cs="仿宋_GB2312"/>
          <w:b w:val="0"/>
          <w:bCs w:val="0"/>
          <w:snapToGrid/>
          <w:color w:val="000000"/>
          <w:sz w:val="32"/>
          <w:szCs w:val="32"/>
          <w:highlight w:val="none"/>
          <w:lang w:eastAsia="zh-CN"/>
        </w:rPr>
        <w:t>》</w:t>
      </w:r>
      <w:r>
        <w:rPr>
          <w:rFonts w:hint="eastAsia" w:ascii="仿宋_GB2312" w:hAnsi="仿宋_GB2312" w:eastAsia="仿宋_GB2312" w:cs="仿宋_GB2312"/>
          <w:b w:val="0"/>
          <w:bCs w:val="0"/>
          <w:snapToGrid/>
          <w:color w:val="000000"/>
          <w:sz w:val="32"/>
          <w:szCs w:val="32"/>
          <w:highlight w:val="none"/>
        </w:rPr>
        <w:t>。</w:t>
      </w:r>
    </w:p>
    <w:p w14:paraId="05CC2AB7">
      <w:pPr>
        <w:keepNext w:val="0"/>
        <w:keepLines w:val="0"/>
        <w:pageBreakBefore w:val="0"/>
        <w:widowControl w:val="0"/>
        <w:numPr>
          <w:ilvl w:val="0"/>
          <w:numId w:val="0"/>
        </w:numPr>
        <w:kinsoku/>
        <w:wordWrap w:val="0"/>
        <w:overflowPunct/>
        <w:topLinePunct/>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b w:val="0"/>
          <w:bCs w:val="0"/>
          <w:i w:val="0"/>
          <w:iCs w:val="0"/>
          <w:caps w:val="0"/>
          <w:color w:val="000000"/>
          <w:spacing w:val="0"/>
          <w:kern w:val="2"/>
          <w:sz w:val="32"/>
          <w:szCs w:val="32"/>
          <w:highlight w:val="none"/>
          <w:shd w:val="clear" w:color="auto" w:fill="auto"/>
        </w:rPr>
      </w:pPr>
      <w:r>
        <w:rPr>
          <w:rFonts w:hint="eastAsia" w:ascii="仿宋_GB2312" w:hAnsi="仿宋_GB2312" w:eastAsia="仿宋_GB2312" w:cs="仿宋_GB2312"/>
          <w:b w:val="0"/>
          <w:bCs w:val="0"/>
          <w:color w:val="000000"/>
          <w:kern w:val="2"/>
          <w:sz w:val="32"/>
          <w:szCs w:val="32"/>
          <w:highlight w:val="none"/>
          <w:lang w:val="en-US" w:eastAsia="zh-CN" w:bidi="ar-SA"/>
        </w:rPr>
        <w:t>第四条规定了区</w:t>
      </w:r>
      <w:r>
        <w:rPr>
          <w:rFonts w:hint="eastAsia" w:ascii="仿宋_GB2312" w:hAnsi="仿宋_GB2312" w:cs="仿宋_GB2312"/>
          <w:b w:val="0"/>
          <w:bCs w:val="0"/>
          <w:color w:val="000000"/>
          <w:kern w:val="2"/>
          <w:sz w:val="32"/>
          <w:szCs w:val="32"/>
          <w:highlight w:val="none"/>
          <w:lang w:val="en-US" w:eastAsia="zh-CN" w:bidi="ar-SA"/>
        </w:rPr>
        <w:t>级</w:t>
      </w:r>
      <w:r>
        <w:rPr>
          <w:rFonts w:hint="eastAsia" w:ascii="仿宋_GB2312" w:hAnsi="仿宋_GB2312" w:eastAsia="仿宋_GB2312" w:cs="仿宋_GB2312"/>
          <w:b w:val="0"/>
          <w:bCs w:val="0"/>
          <w:color w:val="000000"/>
          <w:kern w:val="2"/>
          <w:sz w:val="32"/>
          <w:szCs w:val="32"/>
          <w:highlight w:val="none"/>
          <w:lang w:val="en-US" w:eastAsia="zh-CN" w:bidi="ar-SA"/>
        </w:rPr>
        <w:t>职责</w:t>
      </w:r>
      <w:r>
        <w:rPr>
          <w:rFonts w:hint="eastAsia" w:ascii="仿宋_GB2312" w:hAnsi="仿宋_GB2312" w:eastAsia="仿宋_GB2312" w:cs="仿宋_GB2312"/>
          <w:b w:val="0"/>
          <w:bCs w:val="0"/>
          <w:color w:val="000000"/>
          <w:sz w:val="32"/>
          <w:szCs w:val="32"/>
          <w:highlight w:val="none"/>
          <w:lang w:eastAsia="zh-CN"/>
        </w:rPr>
        <w:t>。</w:t>
      </w:r>
      <w:r>
        <w:rPr>
          <w:rFonts w:hint="default" w:ascii="宋体" w:hAnsi="宋体" w:eastAsia="仿宋_GB2312" w:cs="Times New Roman"/>
          <w:snapToGrid w:val="0"/>
          <w:kern w:val="32"/>
          <w:sz w:val="32"/>
          <w:szCs w:val="32"/>
          <w:highlight w:val="none"/>
          <w:lang w:val="en-US" w:eastAsia="zh-CN" w:bidi="ar-SA"/>
        </w:rPr>
        <w:t>区城市管理部门按照区人民政府要求，统筹辖区内餐厨废弃油脂的排放登记、收运、处理和利用工作的日常监督管理</w:t>
      </w:r>
      <w:r>
        <w:rPr>
          <w:rFonts w:hint="eastAsia" w:cs="Times New Roman"/>
          <w:snapToGrid w:val="0"/>
          <w:kern w:val="32"/>
          <w:sz w:val="32"/>
          <w:szCs w:val="32"/>
          <w:highlight w:val="none"/>
          <w:lang w:val="en-US" w:eastAsia="zh-CN" w:bidi="ar-SA"/>
        </w:rPr>
        <w:t>，</w:t>
      </w:r>
      <w:r>
        <w:rPr>
          <w:rFonts w:hint="eastAsia" w:ascii="仿宋_GB2312" w:hAnsi="仿宋_GB2312" w:eastAsia="仿宋_GB2312" w:cs="仿宋_GB2312"/>
          <w:b w:val="0"/>
          <w:bCs w:val="0"/>
          <w:color w:val="000000"/>
          <w:sz w:val="32"/>
          <w:szCs w:val="32"/>
          <w:highlight w:val="none"/>
          <w:lang w:eastAsia="zh-CN"/>
        </w:rPr>
        <w:t>区级相关部门按照各自职责协同落实</w:t>
      </w:r>
      <w:r>
        <w:rPr>
          <w:rFonts w:hint="default" w:ascii="宋体" w:hAnsi="宋体" w:eastAsia="仿宋_GB2312" w:cs="Times New Roman"/>
          <w:snapToGrid w:val="0"/>
          <w:kern w:val="32"/>
          <w:sz w:val="32"/>
          <w:szCs w:val="32"/>
          <w:highlight w:val="none"/>
          <w:lang w:val="en-US" w:eastAsia="zh-CN" w:bidi="ar-SA"/>
        </w:rPr>
        <w:t>。</w:t>
      </w:r>
    </w:p>
    <w:p w14:paraId="71E4C946">
      <w:pPr>
        <w:keepNext w:val="0"/>
        <w:keepLines w:val="0"/>
        <w:pageBreakBefore w:val="0"/>
        <w:widowControl w:val="0"/>
        <w:numPr>
          <w:ilvl w:val="0"/>
          <w:numId w:val="0"/>
        </w:numPr>
        <w:kinsoku/>
        <w:wordWrap/>
        <w:overflowPunct/>
        <w:topLinePunct w:val="0"/>
        <w:autoSpaceDE/>
        <w:autoSpaceDN/>
        <w:bidi w:val="0"/>
        <w:snapToGrid/>
        <w:spacing w:beforeLines="0" w:afterLines="0" w:line="560"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rPr>
      </w:pPr>
      <w:r>
        <w:rPr>
          <w:rFonts w:hint="eastAsia" w:ascii="仿宋_GB2312" w:hAnsi="仿宋_GB2312" w:eastAsia="仿宋_GB2312" w:cs="仿宋_GB2312"/>
          <w:b w:val="0"/>
          <w:bCs w:val="0"/>
          <w:color w:val="000000"/>
          <w:kern w:val="2"/>
          <w:sz w:val="32"/>
          <w:szCs w:val="32"/>
          <w:highlight w:val="none"/>
          <w:lang w:val="en-US" w:eastAsia="zh-CN" w:bidi="ar-SA"/>
        </w:rPr>
        <w:t>第五条</w:t>
      </w:r>
      <w:r>
        <w:rPr>
          <w:rFonts w:hint="eastAsia" w:ascii="仿宋_GB2312" w:hAnsi="仿宋_GB2312" w:cs="仿宋_GB2312"/>
          <w:b w:val="0"/>
          <w:bCs w:val="0"/>
          <w:color w:val="000000"/>
          <w:kern w:val="2"/>
          <w:sz w:val="32"/>
          <w:szCs w:val="32"/>
          <w:highlight w:val="none"/>
          <w:lang w:val="en-US" w:eastAsia="zh-CN" w:bidi="ar-SA"/>
        </w:rPr>
        <w:t>规定了</w:t>
      </w:r>
      <w:r>
        <w:rPr>
          <w:rFonts w:hint="eastAsia" w:ascii="仿宋_GB2312" w:hAnsi="仿宋_GB2312" w:eastAsia="仿宋_GB2312" w:cs="仿宋_GB2312"/>
          <w:b w:val="0"/>
          <w:bCs w:val="0"/>
          <w:snapToGrid/>
          <w:color w:val="000000"/>
          <w:kern w:val="2"/>
          <w:sz w:val="32"/>
          <w:szCs w:val="32"/>
          <w:highlight w:val="none"/>
          <w:lang w:val="en-US" w:eastAsia="zh-CN" w:bidi="ar-SA"/>
        </w:rPr>
        <w:t>餐饮服务单位</w:t>
      </w:r>
      <w:r>
        <w:rPr>
          <w:rFonts w:hint="eastAsia" w:ascii="仿宋_GB2312" w:hAnsi="仿宋_GB2312" w:eastAsia="仿宋_GB2312" w:cs="仿宋_GB2312"/>
          <w:b w:val="0"/>
          <w:bCs w:val="0"/>
          <w:color w:val="000000"/>
          <w:kern w:val="2"/>
          <w:sz w:val="32"/>
          <w:szCs w:val="32"/>
          <w:highlight w:val="none"/>
          <w:lang w:val="en-US" w:eastAsia="zh-CN" w:bidi="ar-SA"/>
        </w:rPr>
        <w:t>排放主体责任</w:t>
      </w:r>
      <w:r>
        <w:rPr>
          <w:rFonts w:hint="eastAsia" w:ascii="仿宋_GB2312" w:hAnsi="仿宋_GB2312" w:eastAsia="仿宋_GB2312" w:cs="仿宋_GB2312"/>
          <w:b w:val="0"/>
          <w:bCs w:val="0"/>
          <w:color w:val="000000"/>
          <w:sz w:val="32"/>
          <w:szCs w:val="32"/>
          <w:highlight w:val="none"/>
        </w:rPr>
        <w:t>。</w:t>
      </w:r>
      <w:r>
        <w:rPr>
          <w:rFonts w:hint="eastAsia" w:ascii="仿宋_GB2312" w:hAnsi="仿宋_GB2312" w:cs="仿宋_GB2312"/>
          <w:b w:val="0"/>
          <w:bCs w:val="0"/>
          <w:color w:val="000000"/>
          <w:sz w:val="32"/>
          <w:szCs w:val="32"/>
          <w:highlight w:val="none"/>
          <w:lang w:eastAsia="zh-CN"/>
        </w:rPr>
        <w:t>一是</w:t>
      </w:r>
      <w:r>
        <w:rPr>
          <w:rFonts w:hint="eastAsia" w:ascii="仿宋_GB2312" w:hAnsi="仿宋_GB2312" w:eastAsia="仿宋_GB2312" w:cs="仿宋_GB2312"/>
          <w:b w:val="0"/>
          <w:bCs w:val="0"/>
          <w:color w:val="000000"/>
          <w:sz w:val="32"/>
          <w:szCs w:val="32"/>
          <w:highlight w:val="none"/>
        </w:rPr>
        <w:t>与本规定第八条确定的区域收运单位签订餐厨废弃油脂收集运输服务合同，委托收运餐厨废弃油脂；</w:t>
      </w:r>
      <w:r>
        <w:rPr>
          <w:rFonts w:hint="eastAsia" w:ascii="仿宋_GB2312" w:hAnsi="仿宋_GB2312" w:cs="仿宋_GB2312"/>
          <w:b w:val="0"/>
          <w:bCs w:val="0"/>
          <w:color w:val="000000"/>
          <w:sz w:val="32"/>
          <w:szCs w:val="32"/>
          <w:highlight w:val="none"/>
          <w:lang w:eastAsia="zh-CN"/>
        </w:rPr>
        <w:t>二是</w:t>
      </w:r>
      <w:r>
        <w:rPr>
          <w:rFonts w:hint="eastAsia" w:ascii="仿宋_GB2312" w:hAnsi="仿宋_GB2312" w:eastAsia="仿宋_GB2312" w:cs="仿宋_GB2312"/>
          <w:b w:val="0"/>
          <w:bCs w:val="0"/>
          <w:color w:val="000000"/>
          <w:sz w:val="32"/>
          <w:szCs w:val="32"/>
          <w:highlight w:val="none"/>
        </w:rPr>
        <w:t>向所在地的街道（乡镇）进行餐厨废弃油脂排放登记，详细记录餐厨废弃油脂的种类、数量、收运单位、收运时间、去向等信息；</w:t>
      </w:r>
      <w:r>
        <w:rPr>
          <w:rFonts w:hint="eastAsia" w:ascii="仿宋_GB2312" w:hAnsi="仿宋_GB2312" w:cs="仿宋_GB2312"/>
          <w:b w:val="0"/>
          <w:bCs w:val="0"/>
          <w:color w:val="000000"/>
          <w:sz w:val="32"/>
          <w:szCs w:val="32"/>
          <w:highlight w:val="none"/>
          <w:lang w:eastAsia="zh-CN"/>
        </w:rPr>
        <w:t>三是</w:t>
      </w:r>
      <w:r>
        <w:rPr>
          <w:rFonts w:hint="eastAsia" w:ascii="仿宋_GB2312" w:hAnsi="仿宋_GB2312" w:eastAsia="仿宋_GB2312" w:cs="仿宋_GB2312"/>
          <w:b w:val="0"/>
          <w:bCs w:val="0"/>
          <w:color w:val="000000"/>
          <w:sz w:val="32"/>
          <w:szCs w:val="32"/>
          <w:highlight w:val="none"/>
        </w:rPr>
        <w:t>按要求填报电子联单。</w:t>
      </w:r>
    </w:p>
    <w:p w14:paraId="0FFD4669">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第六条</w:t>
      </w:r>
      <w:r>
        <w:rPr>
          <w:rFonts w:hint="eastAsia" w:ascii="仿宋_GB2312" w:hAnsi="仿宋_GB2312" w:cs="仿宋_GB2312"/>
          <w:b w:val="0"/>
          <w:bCs w:val="0"/>
          <w:color w:val="000000"/>
          <w:kern w:val="2"/>
          <w:sz w:val="32"/>
          <w:szCs w:val="32"/>
          <w:highlight w:val="none"/>
          <w:lang w:val="en-US" w:eastAsia="zh-CN" w:bidi="ar-SA"/>
        </w:rPr>
        <w:t>规定了</w:t>
      </w:r>
      <w:r>
        <w:rPr>
          <w:rFonts w:hint="eastAsia" w:ascii="仿宋_GB2312" w:hAnsi="仿宋_GB2312" w:eastAsia="仿宋_GB2312" w:cs="仿宋_GB2312"/>
          <w:b w:val="0"/>
          <w:bCs w:val="0"/>
          <w:color w:val="000000"/>
          <w:kern w:val="2"/>
          <w:sz w:val="32"/>
          <w:szCs w:val="32"/>
          <w:highlight w:val="none"/>
          <w:lang w:val="en-US" w:eastAsia="zh-CN" w:bidi="ar-SA"/>
        </w:rPr>
        <w:t>收运单位确定</w:t>
      </w:r>
      <w:r>
        <w:rPr>
          <w:rFonts w:hint="eastAsia" w:ascii="仿宋_GB2312" w:hAnsi="仿宋_GB2312" w:cs="仿宋_GB2312"/>
          <w:b w:val="0"/>
          <w:bCs w:val="0"/>
          <w:color w:val="000000"/>
          <w:kern w:val="2"/>
          <w:sz w:val="32"/>
          <w:szCs w:val="32"/>
          <w:highlight w:val="none"/>
          <w:lang w:val="en-US" w:eastAsia="zh-CN" w:bidi="ar-SA"/>
        </w:rPr>
        <w:t>方式</w:t>
      </w:r>
      <w:r>
        <w:rPr>
          <w:rFonts w:hint="eastAsia" w:ascii="仿宋_GB2312" w:hAnsi="仿宋_GB2312" w:cs="仿宋_GB2312"/>
          <w:b w:val="0"/>
          <w:bCs w:val="0"/>
          <w:color w:val="000000"/>
          <w:sz w:val="32"/>
          <w:szCs w:val="32"/>
          <w:highlight w:val="none"/>
          <w:lang w:eastAsia="zh-CN"/>
        </w:rPr>
        <w:t>。</w:t>
      </w:r>
      <w:r>
        <w:rPr>
          <w:rFonts w:hint="eastAsia" w:ascii="仿宋_GB2312" w:hAnsi="仿宋_GB2312" w:eastAsia="仿宋_GB2312" w:cs="仿宋_GB2312"/>
          <w:bCs/>
          <w:i w:val="0"/>
          <w:iCs w:val="0"/>
          <w:caps w:val="0"/>
          <w:color w:val="auto"/>
          <w:spacing w:val="0"/>
          <w:kern w:val="2"/>
          <w:sz w:val="32"/>
          <w:szCs w:val="32"/>
          <w:highlight w:val="none"/>
          <w:shd w:val="clear" w:color="auto" w:fill="FFFFFF"/>
          <w:lang w:eastAsia="zh-CN"/>
        </w:rPr>
        <w:t>区</w:t>
      </w:r>
      <w:r>
        <w:rPr>
          <w:rFonts w:hint="eastAsia" w:ascii="仿宋_GB2312" w:hAnsi="仿宋_GB2312" w:eastAsia="仿宋_GB2312" w:cs="仿宋_GB2312"/>
          <w:i w:val="0"/>
          <w:iCs w:val="0"/>
          <w:caps w:val="0"/>
          <w:color w:val="auto"/>
          <w:spacing w:val="0"/>
          <w:sz w:val="32"/>
          <w:szCs w:val="32"/>
          <w:highlight w:val="none"/>
          <w:shd w:val="clear" w:color="auto" w:fill="FFFFFF"/>
        </w:rPr>
        <w:t>城市管理部门</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根据</w:t>
      </w:r>
      <w:r>
        <w:rPr>
          <w:rFonts w:hint="eastAsia" w:ascii="仿宋_GB2312" w:hAnsi="仿宋_GB2312" w:eastAsia="仿宋_GB2312" w:cs="仿宋_GB2312"/>
          <w:i w:val="0"/>
          <w:iCs w:val="0"/>
          <w:caps w:val="0"/>
          <w:color w:val="auto"/>
          <w:spacing w:val="0"/>
          <w:sz w:val="32"/>
          <w:szCs w:val="32"/>
          <w:highlight w:val="none"/>
          <w:shd w:val="clear" w:color="auto" w:fill="FFFFFF"/>
        </w:rPr>
        <w:t>辖区</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餐厨废弃油脂</w:t>
      </w:r>
      <w:r>
        <w:rPr>
          <w:rFonts w:hint="eastAsia" w:ascii="仿宋_GB2312" w:hAnsi="仿宋_GB2312" w:eastAsia="仿宋_GB2312" w:cs="仿宋_GB2312"/>
          <w:i w:val="0"/>
          <w:iCs w:val="0"/>
          <w:caps w:val="0"/>
          <w:color w:val="auto"/>
          <w:spacing w:val="0"/>
          <w:sz w:val="32"/>
          <w:szCs w:val="32"/>
          <w:highlight w:val="none"/>
          <w:shd w:val="clear" w:color="auto" w:fill="FFFFFF"/>
        </w:rPr>
        <w:t>的产生数量、收运作业面积</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等情况，</w:t>
      </w:r>
      <w:r>
        <w:rPr>
          <w:rFonts w:hint="eastAsia" w:ascii="仿宋_GB2312" w:hAnsi="仿宋_GB2312" w:eastAsia="仿宋_GB2312" w:cs="仿宋_GB2312"/>
          <w:i w:val="0"/>
          <w:iCs w:val="0"/>
          <w:caps w:val="0"/>
          <w:color w:val="auto"/>
          <w:spacing w:val="0"/>
          <w:sz w:val="32"/>
          <w:szCs w:val="32"/>
          <w:highlight w:val="none"/>
          <w:shd w:val="clear" w:color="auto" w:fill="FFFFFF"/>
        </w:rPr>
        <w:t>设定</w:t>
      </w:r>
      <w:r>
        <w:rPr>
          <w:rFonts w:hint="eastAsia" w:ascii="仿宋_GB2312" w:hAnsi="仿宋_GB2312" w:cs="仿宋_GB2312"/>
          <w:i w:val="0"/>
          <w:iCs w:val="0"/>
          <w:caps w:val="0"/>
          <w:color w:val="auto"/>
          <w:spacing w:val="0"/>
          <w:sz w:val="32"/>
          <w:szCs w:val="32"/>
          <w:highlight w:val="none"/>
          <w:shd w:val="clear" w:color="auto" w:fill="FFFFFF"/>
          <w:lang w:eastAsia="zh-CN"/>
        </w:rPr>
        <w:t>与之相</w:t>
      </w:r>
      <w:r>
        <w:rPr>
          <w:rFonts w:hint="eastAsia" w:ascii="仿宋_GB2312" w:hAnsi="仿宋_GB2312" w:eastAsia="仿宋_GB2312" w:cs="仿宋_GB2312"/>
          <w:i w:val="0"/>
          <w:iCs w:val="0"/>
          <w:caps w:val="0"/>
          <w:color w:val="auto"/>
          <w:spacing w:val="0"/>
          <w:sz w:val="32"/>
          <w:szCs w:val="32"/>
          <w:highlight w:val="none"/>
          <w:shd w:val="clear" w:color="auto" w:fill="FFFFFF"/>
        </w:rPr>
        <w:t>匹配的收运单位数量，划定</w:t>
      </w:r>
      <w:r>
        <w:rPr>
          <w:rFonts w:hint="eastAsia" w:ascii="仿宋_GB2312" w:hAnsi="仿宋_GB2312" w:cs="仿宋_GB2312"/>
          <w:i w:val="0"/>
          <w:iCs w:val="0"/>
          <w:caps w:val="0"/>
          <w:color w:val="auto"/>
          <w:spacing w:val="0"/>
          <w:sz w:val="32"/>
          <w:szCs w:val="32"/>
          <w:highlight w:val="none"/>
          <w:shd w:val="clear" w:color="auto" w:fill="FFFFFF"/>
          <w:lang w:eastAsia="zh-CN"/>
        </w:rPr>
        <w:t>相应</w:t>
      </w:r>
      <w:r>
        <w:rPr>
          <w:rFonts w:hint="eastAsia" w:ascii="仿宋_GB2312" w:hAnsi="仿宋_GB2312" w:eastAsia="仿宋_GB2312" w:cs="仿宋_GB2312"/>
          <w:i w:val="0"/>
          <w:iCs w:val="0"/>
          <w:caps w:val="0"/>
          <w:color w:val="auto"/>
          <w:spacing w:val="0"/>
          <w:sz w:val="32"/>
          <w:szCs w:val="32"/>
          <w:highlight w:val="none"/>
          <w:shd w:val="clear" w:color="auto" w:fill="FFFFFF"/>
          <w:lang w:eastAsia="zh-CN"/>
        </w:rPr>
        <w:t>的</w:t>
      </w:r>
      <w:r>
        <w:rPr>
          <w:rFonts w:hint="eastAsia" w:ascii="仿宋_GB2312" w:hAnsi="仿宋_GB2312" w:eastAsia="仿宋_GB2312" w:cs="仿宋_GB2312"/>
          <w:i w:val="0"/>
          <w:iCs w:val="0"/>
          <w:caps w:val="0"/>
          <w:color w:val="auto"/>
          <w:spacing w:val="0"/>
          <w:sz w:val="32"/>
          <w:szCs w:val="32"/>
          <w:highlight w:val="none"/>
          <w:shd w:val="clear" w:color="auto" w:fill="FFFFFF"/>
        </w:rPr>
        <w:t>收运区域</w:t>
      </w:r>
      <w:r>
        <w:rPr>
          <w:rFonts w:hint="eastAsia" w:ascii="仿宋_GB2312" w:hAnsi="仿宋_GB2312" w:cs="仿宋_GB2312"/>
          <w:i w:val="0"/>
          <w:iCs w:val="0"/>
          <w:caps w:val="0"/>
          <w:color w:val="auto"/>
          <w:spacing w:val="0"/>
          <w:sz w:val="32"/>
          <w:szCs w:val="32"/>
          <w:highlight w:val="none"/>
          <w:shd w:val="clear" w:color="auto" w:fill="FFFFFF"/>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通过招标等公平竞争方式确定收运单位</w:t>
      </w:r>
      <w:r>
        <w:rPr>
          <w:rFonts w:hint="eastAsia" w:ascii="仿宋_GB2312" w:hAnsi="仿宋_GB2312" w:cs="仿宋_GB2312"/>
          <w:i w:val="0"/>
          <w:iCs w:val="0"/>
          <w:caps w:val="0"/>
          <w:color w:val="auto"/>
          <w:spacing w:val="0"/>
          <w:sz w:val="32"/>
          <w:szCs w:val="32"/>
          <w:highlight w:val="none"/>
          <w:shd w:val="clear" w:color="auto" w:fill="FFFFFF"/>
          <w:lang w:eastAsia="zh-CN"/>
        </w:rPr>
        <w:t>，并向社会公开</w:t>
      </w:r>
      <w:r>
        <w:rPr>
          <w:rFonts w:hint="eastAsia" w:ascii="仿宋_GB2312" w:hAnsi="仿宋_GB2312" w:eastAsia="仿宋_GB2312" w:cs="仿宋_GB2312"/>
          <w:b w:val="0"/>
          <w:bCs w:val="0"/>
          <w:color w:val="000000"/>
          <w:sz w:val="32"/>
          <w:szCs w:val="32"/>
          <w:highlight w:val="none"/>
          <w:lang w:val="en-US" w:eastAsia="zh-CN"/>
        </w:rPr>
        <w:t>。</w:t>
      </w:r>
    </w:p>
    <w:p w14:paraId="09995CB2">
      <w:pPr>
        <w:keepNext w:val="0"/>
        <w:keepLines w:val="0"/>
        <w:pageBreakBefore w:val="0"/>
        <w:widowControl w:val="0"/>
        <w:numPr>
          <w:ilvl w:val="0"/>
          <w:numId w:val="0"/>
        </w:numPr>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ascii="仿宋_GB2312" w:hAnsi="仿宋_GB2312" w:eastAsia="仿宋_GB2312" w:cs="仿宋_GB2312"/>
          <w:kern w:val="0"/>
          <w:sz w:val="32"/>
          <w:szCs w:val="32"/>
          <w:highlight w:val="none"/>
        </w:rPr>
      </w:pPr>
      <w:r>
        <w:rPr>
          <w:rFonts w:hint="eastAsia" w:ascii="宋体" w:hAnsi="宋体" w:eastAsia="仿宋_GB2312" w:cs="仿宋_GB2312"/>
          <w:snapToGrid w:val="0"/>
          <w:kern w:val="2"/>
          <w:sz w:val="32"/>
          <w:szCs w:val="32"/>
          <w:highlight w:val="none"/>
          <w:shd w:val="clear" w:color="auto" w:fill="auto"/>
          <w:lang w:val="en-US" w:eastAsia="zh" w:bidi="ar"/>
        </w:rPr>
        <w:t>第七条规定了收运单位招标要求。一是本地固定办公场所，自有收运容器和车辆；二是自有或合作合规处理设施；三是</w:t>
      </w:r>
      <w:r>
        <w:rPr>
          <w:rFonts w:hint="eastAsia" w:ascii="宋体" w:hAnsi="宋体" w:eastAsia="仿宋_GB2312" w:cs="仿宋_GB2312"/>
          <w:snapToGrid w:val="0"/>
          <w:kern w:val="2"/>
          <w:sz w:val="32"/>
          <w:szCs w:val="32"/>
          <w:highlight w:val="none"/>
          <w:shd w:val="clear" w:color="auto" w:fill="auto"/>
          <w:lang w:val="en-US" w:eastAsia="zh-CN" w:bidi="ar"/>
        </w:rPr>
        <w:t>提供</w:t>
      </w:r>
      <w:r>
        <w:rPr>
          <w:rFonts w:hint="eastAsia" w:ascii="宋体" w:hAnsi="宋体" w:eastAsia="仿宋_GB2312" w:cs="仿宋_GB2312"/>
          <w:snapToGrid w:val="0"/>
          <w:kern w:val="2"/>
          <w:sz w:val="32"/>
          <w:szCs w:val="32"/>
          <w:highlight w:val="none"/>
          <w:shd w:val="clear" w:color="auto" w:fill="auto"/>
          <w:lang w:val="en-US" w:eastAsia="zh" w:bidi="ar"/>
        </w:rPr>
        <w:t>资源化利用协议等</w:t>
      </w:r>
      <w:r>
        <w:rPr>
          <w:rFonts w:hint="eastAsia" w:ascii="仿宋_GB2312" w:hAnsi="仿宋_GB2312" w:cs="仿宋_GB2312"/>
          <w:kern w:val="0"/>
          <w:sz w:val="32"/>
          <w:szCs w:val="32"/>
          <w:highlight w:val="none"/>
          <w:lang w:eastAsia="zh-CN"/>
        </w:rPr>
        <w:t>。</w:t>
      </w:r>
    </w:p>
    <w:p w14:paraId="689C26DF">
      <w:pPr>
        <w:keepNext w:val="0"/>
        <w:keepLines w:val="0"/>
        <w:pageBreakBefore w:val="0"/>
        <w:widowControl w:val="0"/>
        <w:kinsoku/>
        <w:wordWrap/>
        <w:overflowPunct/>
        <w:topLinePunct w:val="0"/>
        <w:autoSpaceDE/>
        <w:autoSpaceDN/>
        <w:bidi w:val="0"/>
        <w:adjustRightInd w:val="0"/>
        <w:snapToGrid/>
        <w:spacing w:beforeLines="0" w:afterLines="0" w:line="560" w:lineRule="exact"/>
        <w:ind w:firstLine="640" w:firstLineChars="200"/>
        <w:textAlignment w:val="auto"/>
        <w:rPr>
          <w:rFonts w:hint="eastAsia" w:ascii="仿宋_GB2312" w:hAnsi="仿宋_GB2312" w:eastAsia="仿宋_GB2312" w:cs="Times New Roman"/>
          <w:snapToGrid w:val="0"/>
          <w:kern w:val="32"/>
          <w:sz w:val="32"/>
          <w:szCs w:val="32"/>
          <w:highlight w:val="none"/>
          <w:lang w:val="en-US" w:eastAsia="zh-CN"/>
        </w:rPr>
      </w:pPr>
      <w:r>
        <w:rPr>
          <w:rFonts w:hint="eastAsia" w:ascii="仿宋_GB2312" w:hAnsi="仿宋_GB2312" w:eastAsia="仿宋_GB2312" w:cs="仿宋_GB2312"/>
          <w:b w:val="0"/>
          <w:bCs w:val="0"/>
          <w:color w:val="000000"/>
          <w:kern w:val="2"/>
          <w:sz w:val="32"/>
          <w:szCs w:val="32"/>
          <w:highlight w:val="none"/>
          <w:lang w:val="en-US" w:eastAsia="zh-CN" w:bidi="ar-SA"/>
        </w:rPr>
        <w:t>第八条</w:t>
      </w:r>
      <w:r>
        <w:rPr>
          <w:rFonts w:hint="eastAsia" w:ascii="仿宋_GB2312" w:hAnsi="仿宋_GB2312" w:cs="仿宋_GB2312"/>
          <w:b w:val="0"/>
          <w:bCs w:val="0"/>
          <w:color w:val="000000"/>
          <w:kern w:val="2"/>
          <w:sz w:val="32"/>
          <w:szCs w:val="32"/>
          <w:highlight w:val="none"/>
          <w:lang w:val="en-US" w:eastAsia="zh-CN" w:bidi="ar-SA"/>
        </w:rPr>
        <w:t>规定了</w:t>
      </w:r>
      <w:r>
        <w:rPr>
          <w:rFonts w:hint="eastAsia" w:ascii="仿宋_GB2312" w:hAnsi="仿宋_GB2312" w:eastAsia="仿宋_GB2312" w:cs="仿宋_GB2312"/>
          <w:b w:val="0"/>
          <w:bCs w:val="0"/>
          <w:color w:val="000000"/>
          <w:kern w:val="2"/>
          <w:sz w:val="32"/>
          <w:szCs w:val="32"/>
          <w:highlight w:val="none"/>
          <w:lang w:val="en-US" w:eastAsia="zh-CN" w:bidi="ar-SA"/>
        </w:rPr>
        <w:t>定向收运</w:t>
      </w:r>
      <w:r>
        <w:rPr>
          <w:rFonts w:hint="eastAsia" w:ascii="仿宋_GB2312" w:hAnsi="仿宋_GB2312" w:cs="仿宋_GB2312"/>
          <w:b w:val="0"/>
          <w:bCs w:val="0"/>
          <w:color w:val="000000"/>
          <w:kern w:val="2"/>
          <w:sz w:val="32"/>
          <w:szCs w:val="32"/>
          <w:highlight w:val="none"/>
          <w:lang w:val="en-US" w:eastAsia="zh-CN" w:bidi="ar-SA"/>
        </w:rPr>
        <w:t>要求</w:t>
      </w:r>
      <w:r>
        <w:rPr>
          <w:rFonts w:hint="eastAsia" w:ascii="仿宋_GB2312" w:hAnsi="仿宋_GB2312" w:cs="仿宋_GB2312"/>
          <w:b w:val="0"/>
          <w:bCs w:val="0"/>
          <w:color w:val="00000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shd w:val="clear" w:color="auto" w:fill="FFFFFF"/>
        </w:rPr>
        <w:t>区城市管理部门</w:t>
      </w:r>
      <w:r>
        <w:rPr>
          <w:rFonts w:hint="eastAsia" w:ascii="仿宋_GB2312" w:hAnsi="仿宋_GB2312" w:eastAsia="仿宋_GB2312" w:cs="仿宋_GB2312"/>
          <w:kern w:val="0"/>
          <w:sz w:val="32"/>
          <w:szCs w:val="32"/>
          <w:highlight w:val="none"/>
          <w:lang w:eastAsia="zh-CN"/>
        </w:rPr>
        <w:t>与</w:t>
      </w:r>
      <w:r>
        <w:rPr>
          <w:rFonts w:hint="eastAsia" w:ascii="仿宋_GB2312" w:hAnsi="仿宋_GB2312" w:eastAsia="仿宋_GB2312" w:cs="仿宋_GB2312"/>
          <w:kern w:val="0"/>
          <w:sz w:val="32"/>
          <w:szCs w:val="32"/>
          <w:highlight w:val="none"/>
        </w:rPr>
        <w:t>中标</w:t>
      </w:r>
      <w:r>
        <w:rPr>
          <w:rFonts w:hint="eastAsia" w:ascii="仿宋_GB2312" w:hAnsi="仿宋_GB2312" w:eastAsia="仿宋_GB2312" w:cs="仿宋_GB2312"/>
          <w:kern w:val="0"/>
          <w:sz w:val="32"/>
          <w:szCs w:val="32"/>
          <w:highlight w:val="none"/>
          <w:lang w:eastAsia="zh-CN"/>
        </w:rPr>
        <w:t>的</w:t>
      </w:r>
      <w:r>
        <w:rPr>
          <w:rFonts w:hint="eastAsia" w:ascii="仿宋_GB2312" w:hAnsi="仿宋_GB2312" w:eastAsia="仿宋_GB2312" w:cs="仿宋_GB2312"/>
          <w:bCs/>
          <w:snapToGrid w:val="0"/>
          <w:sz w:val="32"/>
          <w:szCs w:val="32"/>
          <w:highlight w:val="none"/>
          <w:lang w:eastAsia="zh-CN"/>
        </w:rPr>
        <w:t>收运单位</w:t>
      </w:r>
      <w:r>
        <w:rPr>
          <w:rFonts w:hint="eastAsia" w:ascii="仿宋_GB2312" w:hAnsi="仿宋_GB2312" w:eastAsia="仿宋_GB2312" w:cs="仿宋_GB2312"/>
          <w:kern w:val="0"/>
          <w:sz w:val="32"/>
          <w:szCs w:val="32"/>
          <w:highlight w:val="none"/>
        </w:rPr>
        <w:t>签订餐厨废弃油脂收集运输服务经营协议</w:t>
      </w:r>
      <w:r>
        <w:rPr>
          <w:rFonts w:hint="eastAsia" w:ascii="仿宋_GB2312" w:hAnsi="仿宋_GB2312" w:cs="仿宋_GB2312"/>
          <w:kern w:val="0"/>
          <w:sz w:val="32"/>
          <w:szCs w:val="32"/>
          <w:highlight w:val="none"/>
          <w:lang w:eastAsia="zh-CN"/>
        </w:rPr>
        <w:t>，取得行政许可，并</w:t>
      </w:r>
      <w:r>
        <w:rPr>
          <w:rFonts w:hint="eastAsia" w:ascii="仿宋_GB2312" w:hAnsi="仿宋_GB2312" w:eastAsia="仿宋_GB2312" w:cs="仿宋_GB2312"/>
          <w:snapToGrid w:val="0"/>
          <w:color w:val="auto"/>
          <w:kern w:val="32"/>
          <w:sz w:val="32"/>
          <w:szCs w:val="32"/>
          <w:highlight w:val="none"/>
          <w:shd w:val="clear" w:color="auto" w:fill="FFFFFF"/>
        </w:rPr>
        <w:t>组织收运</w:t>
      </w:r>
      <w:r>
        <w:rPr>
          <w:rFonts w:hint="eastAsia" w:ascii="仿宋_GB2312" w:hAnsi="仿宋_GB2312" w:eastAsia="仿宋_GB2312" w:cs="仿宋_GB2312"/>
          <w:snapToGrid w:val="0"/>
          <w:color w:val="auto"/>
          <w:kern w:val="32"/>
          <w:sz w:val="32"/>
          <w:szCs w:val="32"/>
          <w:highlight w:val="none"/>
          <w:shd w:val="clear" w:color="auto" w:fill="FFFFFF"/>
          <w:lang w:eastAsia="zh-CN"/>
        </w:rPr>
        <w:t>单位</w:t>
      </w:r>
      <w:r>
        <w:rPr>
          <w:rFonts w:hint="eastAsia" w:ascii="仿宋_GB2312" w:hAnsi="仿宋_GB2312" w:eastAsia="仿宋_GB2312" w:cs="仿宋_GB2312"/>
          <w:snapToGrid w:val="0"/>
          <w:color w:val="auto"/>
          <w:kern w:val="32"/>
          <w:sz w:val="32"/>
          <w:szCs w:val="32"/>
          <w:highlight w:val="none"/>
          <w:shd w:val="clear" w:color="auto" w:fill="FFFFFF"/>
        </w:rPr>
        <w:t>与服务</w:t>
      </w:r>
      <w:r>
        <w:rPr>
          <w:rFonts w:hint="eastAsia" w:ascii="仿宋_GB2312" w:hAnsi="仿宋_GB2312" w:cs="仿宋_GB2312"/>
          <w:snapToGrid w:val="0"/>
          <w:color w:val="auto"/>
          <w:kern w:val="32"/>
          <w:sz w:val="32"/>
          <w:szCs w:val="32"/>
          <w:highlight w:val="none"/>
          <w:shd w:val="clear" w:color="auto" w:fill="FFFFFF"/>
          <w:lang w:eastAsia="zh-CN"/>
        </w:rPr>
        <w:t>区域</w:t>
      </w:r>
      <w:r>
        <w:rPr>
          <w:rFonts w:hint="eastAsia" w:ascii="仿宋_GB2312" w:hAnsi="仿宋_GB2312" w:eastAsia="仿宋_GB2312" w:cs="仿宋_GB2312"/>
          <w:snapToGrid w:val="0"/>
          <w:color w:val="auto"/>
          <w:kern w:val="32"/>
          <w:sz w:val="32"/>
          <w:szCs w:val="32"/>
          <w:highlight w:val="none"/>
          <w:shd w:val="clear" w:color="auto" w:fill="FFFFFF"/>
        </w:rPr>
        <w:t>内产生</w:t>
      </w:r>
      <w:r>
        <w:rPr>
          <w:rFonts w:hint="eastAsia" w:ascii="仿宋_GB2312" w:hAnsi="仿宋_GB2312" w:cs="仿宋_GB2312"/>
          <w:snapToGrid w:val="0"/>
          <w:color w:val="auto"/>
          <w:kern w:val="32"/>
          <w:sz w:val="32"/>
          <w:szCs w:val="32"/>
          <w:highlight w:val="none"/>
          <w:shd w:val="clear" w:color="auto" w:fill="FFFFFF"/>
          <w:lang w:eastAsia="zh-CN"/>
        </w:rPr>
        <w:t>餐厨废弃油脂</w:t>
      </w:r>
      <w:r>
        <w:rPr>
          <w:rFonts w:hint="eastAsia" w:ascii="仿宋_GB2312" w:hAnsi="仿宋_GB2312" w:eastAsia="仿宋_GB2312" w:cs="仿宋_GB2312"/>
          <w:snapToGrid w:val="0"/>
          <w:color w:val="auto"/>
          <w:kern w:val="32"/>
          <w:sz w:val="32"/>
          <w:szCs w:val="32"/>
          <w:highlight w:val="none"/>
          <w:shd w:val="clear" w:color="auto" w:fill="FFFFFF"/>
        </w:rPr>
        <w:t>的餐饮服务单位签订收运服务合同</w:t>
      </w:r>
      <w:r>
        <w:rPr>
          <w:rFonts w:hint="eastAsia" w:ascii="仿宋_GB2312" w:hAnsi="仿宋_GB2312" w:cs="仿宋_GB2312"/>
          <w:snapToGrid w:val="0"/>
          <w:color w:val="auto"/>
          <w:kern w:val="32"/>
          <w:sz w:val="32"/>
          <w:szCs w:val="32"/>
          <w:highlight w:val="none"/>
          <w:shd w:val="clear" w:color="auto" w:fill="FFFFFF"/>
          <w:lang w:eastAsia="zh-CN"/>
        </w:rPr>
        <w:t>。</w:t>
      </w:r>
      <w:r>
        <w:rPr>
          <w:rFonts w:hint="eastAsia" w:ascii="仿宋_GB2312" w:hAnsi="仿宋_GB2312" w:cs="Times New Roman"/>
          <w:snapToGrid w:val="0"/>
          <w:kern w:val="32"/>
          <w:sz w:val="32"/>
          <w:szCs w:val="32"/>
          <w:highlight w:val="none"/>
          <w:lang w:eastAsia="zh-CN"/>
        </w:rPr>
        <w:t>价格由收运单位与餐饮服务单位根据市场行情协商确定。</w:t>
      </w:r>
    </w:p>
    <w:p w14:paraId="1702AA59">
      <w:pPr>
        <w:keepNext w:val="0"/>
        <w:keepLines w:val="0"/>
        <w:pageBreakBefore w:val="0"/>
        <w:widowControl w:val="0"/>
        <w:numPr>
          <w:ilvl w:val="0"/>
          <w:numId w:val="0"/>
        </w:numPr>
        <w:shd w:val="clear" w:color="auto" w:fill="auto"/>
        <w:kinsoku/>
        <w:wordWrap w:val="0"/>
        <w:overflowPunct/>
        <w:topLinePunct/>
        <w:autoSpaceDE/>
        <w:autoSpaceDN/>
        <w:bidi w:val="0"/>
        <w:adjustRightInd w:val="0"/>
        <w:snapToGrid w:val="0"/>
        <w:spacing w:beforeLines="0" w:afterLines="0" w:line="560" w:lineRule="exact"/>
        <w:ind w:firstLine="640" w:firstLineChars="200"/>
        <w:jc w:val="both"/>
        <w:textAlignment w:val="auto"/>
        <w:rPr>
          <w:rFonts w:hint="eastAsia" w:ascii="仿宋_GB2312" w:hAnsi="仿宋_GB2312" w:eastAsia="仿宋_GB2312" w:cs="仿宋_GB2312"/>
          <w:b w:val="0"/>
          <w:bCs w:val="0"/>
          <w:color w:val="000000"/>
          <w:sz w:val="32"/>
          <w:szCs w:val="32"/>
          <w:highlight w:val="none"/>
          <w:lang w:eastAsia="zh-CN"/>
        </w:rPr>
      </w:pPr>
      <w:r>
        <w:rPr>
          <w:rFonts w:hint="eastAsia" w:ascii="宋体" w:hAnsi="宋体" w:eastAsia="仿宋_GB2312" w:cs="仿宋_GB2312"/>
          <w:snapToGrid w:val="0"/>
          <w:kern w:val="2"/>
          <w:sz w:val="32"/>
          <w:szCs w:val="32"/>
          <w:highlight w:val="none"/>
          <w:shd w:val="clear" w:color="auto" w:fill="auto"/>
          <w:lang w:val="en-US" w:eastAsia="zh" w:bidi="ar"/>
        </w:rPr>
        <w:t>第九条规定了收运作业要求</w:t>
      </w:r>
      <w:r>
        <w:rPr>
          <w:rFonts w:hint="eastAsia" w:ascii="仿宋_GB2312" w:hAnsi="仿宋_GB2312" w:cs="仿宋_GB2312"/>
          <w:b w:val="0"/>
          <w:bCs w:val="0"/>
          <w:color w:val="000000"/>
          <w:sz w:val="32"/>
          <w:szCs w:val="32"/>
          <w:highlight w:val="none"/>
          <w:lang w:eastAsia="zh-CN"/>
        </w:rPr>
        <w:t>。</w:t>
      </w:r>
      <w:r>
        <w:rPr>
          <w:rFonts w:hint="eastAsia" w:ascii="宋体" w:hAnsi="宋体" w:eastAsia="仿宋_GB2312" w:cs="仿宋_GB2312"/>
          <w:snapToGrid w:val="0"/>
          <w:kern w:val="2"/>
          <w:sz w:val="32"/>
          <w:szCs w:val="32"/>
          <w:highlight w:val="none"/>
          <w:shd w:val="clear" w:color="auto" w:fill="auto"/>
          <w:lang w:val="en-US" w:eastAsia="zh-CN" w:bidi="ar"/>
        </w:rPr>
        <w:t>主要</w:t>
      </w:r>
      <w:r>
        <w:rPr>
          <w:rFonts w:hint="eastAsia" w:ascii="仿宋_GB2312" w:hAnsi="仿宋_GB2312" w:eastAsia="仿宋_GB2312" w:cs="仿宋_GB2312"/>
          <w:b w:val="0"/>
          <w:bCs w:val="0"/>
          <w:color w:val="000000"/>
          <w:sz w:val="32"/>
          <w:szCs w:val="32"/>
          <w:highlight w:val="none"/>
          <w:lang w:eastAsia="zh-CN"/>
        </w:rPr>
        <w:t>包括收运作业规范、</w:t>
      </w:r>
      <w:r>
        <w:rPr>
          <w:rFonts w:hint="eastAsia" w:cs="仿宋_GB2312"/>
          <w:snapToGrid w:val="0"/>
          <w:kern w:val="2"/>
          <w:sz w:val="32"/>
          <w:szCs w:val="32"/>
          <w:highlight w:val="none"/>
          <w:shd w:val="clear" w:color="auto" w:fill="auto"/>
          <w:lang w:val="en-US" w:eastAsia="zh-CN" w:bidi="ar"/>
        </w:rPr>
        <w:t>收运的废弃油脂</w:t>
      </w:r>
      <w:r>
        <w:rPr>
          <w:rFonts w:hint="eastAsia" w:ascii="宋体" w:hAnsi="宋体" w:eastAsia="仿宋_GB2312" w:cs="仿宋_GB2312"/>
          <w:snapToGrid w:val="0"/>
          <w:kern w:val="2"/>
          <w:sz w:val="32"/>
          <w:szCs w:val="32"/>
          <w:highlight w:val="none"/>
          <w:shd w:val="clear" w:color="auto" w:fill="auto"/>
          <w:lang w:val="en-US" w:eastAsia="zh" w:bidi="ar"/>
        </w:rPr>
        <w:t>运至合规处理设施、</w:t>
      </w:r>
      <w:r>
        <w:rPr>
          <w:rFonts w:hint="eastAsia" w:ascii="仿宋_GB2312" w:hAnsi="仿宋_GB2312" w:eastAsia="仿宋_GB2312" w:cs="仿宋_GB2312"/>
          <w:b w:val="0"/>
          <w:bCs w:val="0"/>
          <w:color w:val="000000"/>
          <w:sz w:val="32"/>
          <w:szCs w:val="32"/>
          <w:highlight w:val="none"/>
          <w:lang w:eastAsia="zh-CN"/>
        </w:rPr>
        <w:t>执行电子联单制度、确保应收尽收等。</w:t>
      </w:r>
    </w:p>
    <w:p w14:paraId="15A0415D">
      <w:pPr>
        <w:keepNext w:val="0"/>
        <w:keepLines w:val="0"/>
        <w:pageBreakBefore w:val="0"/>
        <w:widowControl w:val="0"/>
        <w:numPr>
          <w:ilvl w:val="0"/>
          <w:numId w:val="0"/>
        </w:numPr>
        <w:kinsoku/>
        <w:wordWrap/>
        <w:overflowPunct/>
        <w:topLinePunct w:val="0"/>
        <w:autoSpaceDE/>
        <w:autoSpaceDN/>
        <w:bidi w:val="0"/>
        <w:adjustRightInd/>
        <w:snapToGrid/>
        <w:spacing w:before="0" w:beforeLines="0" w:beforeAutospacing="0" w:after="0" w:afterLines="0" w:afterAutospacing="0" w:line="560" w:lineRule="exact"/>
        <w:ind w:firstLine="640" w:firstLineChars="200"/>
        <w:jc w:val="both"/>
        <w:textAlignment w:val="auto"/>
        <w:rPr>
          <w:rFonts w:hint="eastAsia" w:ascii="仿宋" w:hAnsi="仿宋" w:eastAsia="仿宋_GB2312" w:cs="微软雅黑"/>
          <w:b w:val="0"/>
          <w:bCs/>
          <w:color w:val="000000"/>
          <w:kern w:val="2"/>
          <w:sz w:val="32"/>
          <w:szCs w:val="32"/>
          <w:highlight w:val="none"/>
          <w:shd w:val="clear" w:color="auto" w:fill="FFFFFF"/>
          <w:lang w:val="en-US" w:eastAsia="zh-CN" w:bidi="ar-SA"/>
        </w:rPr>
      </w:pPr>
      <w:r>
        <w:rPr>
          <w:rFonts w:hint="eastAsia" w:ascii="宋体" w:hAnsi="宋体" w:eastAsia="仿宋_GB2312" w:cs="仿宋_GB2312"/>
          <w:snapToGrid w:val="0"/>
          <w:kern w:val="2"/>
          <w:sz w:val="32"/>
          <w:szCs w:val="32"/>
          <w:highlight w:val="none"/>
          <w:shd w:val="clear" w:color="auto" w:fill="auto"/>
          <w:lang w:val="en-US" w:eastAsia="zh" w:bidi="ar"/>
        </w:rPr>
        <w:t>第十条规定了处理要求</w:t>
      </w:r>
      <w:r>
        <w:rPr>
          <w:rFonts w:hint="eastAsia" w:ascii="仿宋_GB2312" w:hAnsi="仿宋_GB2312" w:cs="仿宋_GB2312"/>
          <w:kern w:val="0"/>
          <w:sz w:val="32"/>
          <w:szCs w:val="32"/>
          <w:highlight w:val="none"/>
          <w:lang w:eastAsia="zh-CN"/>
        </w:rPr>
        <w:t>。包括</w:t>
      </w:r>
      <w:r>
        <w:rPr>
          <w:rFonts w:hint="eastAsia" w:ascii="仿宋_GB2312" w:hAnsi="仿宋_GB2312" w:cs="仿宋_GB2312"/>
          <w:bCs/>
          <w:snapToGrid w:val="0"/>
          <w:kern w:val="2"/>
          <w:sz w:val="32"/>
          <w:szCs w:val="32"/>
          <w:highlight w:val="none"/>
          <w:lang w:val="en-US" w:eastAsia="zh-CN" w:bidi="ar-SA"/>
        </w:rPr>
        <w:t>污染物</w:t>
      </w:r>
      <w:r>
        <w:rPr>
          <w:rFonts w:hint="eastAsia" w:ascii="仿宋_GB2312" w:hAnsi="仿宋_GB2312" w:eastAsia="仿宋_GB2312" w:cs="仿宋_GB2312"/>
          <w:bCs/>
          <w:snapToGrid w:val="0"/>
          <w:kern w:val="2"/>
          <w:sz w:val="32"/>
          <w:szCs w:val="32"/>
          <w:highlight w:val="none"/>
          <w:lang w:val="en-US" w:eastAsia="zh-CN" w:bidi="ar-SA"/>
        </w:rPr>
        <w:t>排放</w:t>
      </w:r>
      <w:r>
        <w:rPr>
          <w:rFonts w:hint="eastAsia" w:ascii="仿宋_GB2312" w:hAnsi="仿宋_GB2312" w:cs="仿宋_GB2312"/>
          <w:bCs/>
          <w:snapToGrid w:val="0"/>
          <w:kern w:val="2"/>
          <w:sz w:val="32"/>
          <w:szCs w:val="32"/>
          <w:highlight w:val="none"/>
          <w:lang w:val="en-US" w:eastAsia="zh-CN" w:bidi="ar-SA"/>
        </w:rPr>
        <w:t>符合环保要求等。</w:t>
      </w:r>
    </w:p>
    <w:p w14:paraId="084B7C67">
      <w:pPr>
        <w:keepNext w:val="0"/>
        <w:keepLines w:val="0"/>
        <w:pageBreakBefore w:val="0"/>
        <w:widowControl w:val="0"/>
        <w:kinsoku/>
        <w:wordWrap/>
        <w:overflowPunct/>
        <w:topLinePunct w:val="0"/>
        <w:autoSpaceDE/>
        <w:autoSpaceDN/>
        <w:bidi w:val="0"/>
        <w:snapToGrid/>
        <w:spacing w:beforeLines="0" w:afterLines="0" w:line="560" w:lineRule="exact"/>
        <w:ind w:firstLine="640" w:firstLineChars="200"/>
        <w:jc w:val="both"/>
        <w:textAlignment w:val="auto"/>
        <w:rPr>
          <w:rFonts w:hint="eastAsia" w:ascii="仿宋_GB2312" w:hAnsi="仿宋_GB2312" w:eastAsia="仿宋_GB2312" w:cs="仿宋_GB2312"/>
          <w:b w:val="0"/>
          <w:bCs/>
          <w:color w:val="000000"/>
          <w:sz w:val="32"/>
          <w:szCs w:val="32"/>
          <w:highlight w:val="none"/>
          <w:shd w:val="clear" w:color="auto" w:fill="FFFFFF"/>
          <w:lang w:val="en-US" w:eastAsia="zh-CN"/>
        </w:rPr>
      </w:pPr>
      <w:r>
        <w:rPr>
          <w:rFonts w:hint="eastAsia" w:ascii="宋体" w:hAnsi="宋体" w:eastAsia="仿宋_GB2312" w:cs="仿宋_GB2312"/>
          <w:snapToGrid w:val="0"/>
          <w:kern w:val="2"/>
          <w:sz w:val="32"/>
          <w:szCs w:val="32"/>
          <w:highlight w:val="none"/>
          <w:shd w:val="clear" w:color="auto" w:fill="auto"/>
          <w:lang w:val="en-US" w:eastAsia="zh" w:bidi="ar"/>
        </w:rPr>
        <w:t>第十一条规定了资源化利用</w:t>
      </w:r>
      <w:r>
        <w:rPr>
          <w:rFonts w:hint="eastAsia" w:ascii="宋体" w:hAnsi="宋体" w:cs="仿宋_GB2312"/>
          <w:snapToGrid w:val="0"/>
          <w:kern w:val="2"/>
          <w:sz w:val="32"/>
          <w:szCs w:val="32"/>
          <w:highlight w:val="none"/>
          <w:shd w:val="clear" w:color="auto" w:fill="auto"/>
          <w:lang w:val="en-US" w:eastAsia="zh-CN" w:bidi="ar"/>
        </w:rPr>
        <w:t>要求</w:t>
      </w:r>
      <w:r>
        <w:rPr>
          <w:rFonts w:hint="eastAsia" w:ascii="仿宋_GB2312" w:hAnsi="仿宋_GB2312" w:cs="仿宋_GB2312"/>
          <w:b w:val="0"/>
          <w:bCs w:val="0"/>
          <w:color w:val="000000"/>
          <w:kern w:val="2"/>
          <w:sz w:val="32"/>
          <w:szCs w:val="32"/>
          <w:highlight w:val="none"/>
          <w:lang w:val="en-US" w:eastAsia="zh-CN" w:bidi="ar-SA"/>
        </w:rPr>
        <w:t>。要求</w:t>
      </w:r>
      <w:r>
        <w:rPr>
          <w:rFonts w:hint="eastAsia" w:ascii="仿宋_GB2312" w:hAnsi="仿宋_GB2312" w:eastAsia="仿宋_GB2312" w:cs="仿宋_GB2312"/>
          <w:b w:val="0"/>
          <w:bCs/>
          <w:color w:val="000000"/>
          <w:sz w:val="32"/>
          <w:szCs w:val="32"/>
          <w:highlight w:val="none"/>
          <w:shd w:val="clear" w:color="auto" w:fill="FFFFFF"/>
          <w:lang w:val="en-US" w:eastAsia="zh-CN"/>
        </w:rPr>
        <w:t>废弃油脂</w:t>
      </w:r>
      <w:r>
        <w:rPr>
          <w:rFonts w:hint="eastAsia" w:ascii="仿宋_GB2312" w:hAnsi="仿宋_GB2312" w:cs="仿宋_GB2312"/>
          <w:b w:val="0"/>
          <w:bCs/>
          <w:color w:val="000000"/>
          <w:sz w:val="32"/>
          <w:szCs w:val="32"/>
          <w:highlight w:val="none"/>
          <w:shd w:val="clear" w:color="auto" w:fill="FFFFFF"/>
          <w:lang w:val="en-US" w:eastAsia="zh-CN"/>
        </w:rPr>
        <w:t>应进入符合国家产业发展导向的领域进行资源化利用，鼓励在本市完成资源化利用，</w:t>
      </w:r>
      <w:r>
        <w:rPr>
          <w:rFonts w:hint="eastAsia" w:ascii="仿宋_GB2312" w:hAnsi="仿宋_GB2312" w:eastAsia="仿宋_GB2312" w:cs="仿宋_GB2312"/>
          <w:b w:val="0"/>
          <w:bCs/>
          <w:color w:val="000000"/>
          <w:sz w:val="32"/>
          <w:szCs w:val="32"/>
          <w:highlight w:val="none"/>
          <w:shd w:val="clear" w:color="auto" w:fill="FFFFFF"/>
          <w:lang w:val="en-US" w:eastAsia="zh-CN"/>
        </w:rPr>
        <w:t>出京利用的应当</w:t>
      </w:r>
      <w:r>
        <w:rPr>
          <w:rFonts w:hint="eastAsia" w:ascii="仿宋_GB2312" w:hAnsi="仿宋_GB2312" w:cs="仿宋_GB2312"/>
          <w:b w:val="0"/>
          <w:bCs/>
          <w:color w:val="000000"/>
          <w:sz w:val="32"/>
          <w:szCs w:val="32"/>
          <w:highlight w:val="none"/>
          <w:shd w:val="clear" w:color="auto" w:fill="FFFFFF"/>
          <w:lang w:val="en-US" w:eastAsia="zh-CN"/>
        </w:rPr>
        <w:t>遵守相关法律法规</w:t>
      </w:r>
      <w:r>
        <w:rPr>
          <w:rFonts w:hint="eastAsia" w:ascii="仿宋_GB2312" w:hAnsi="仿宋_GB2312" w:eastAsia="仿宋_GB2312" w:cs="仿宋_GB2312"/>
          <w:b w:val="0"/>
          <w:bCs w:val="0"/>
          <w:color w:val="000000"/>
          <w:kern w:val="2"/>
          <w:sz w:val="32"/>
          <w:szCs w:val="32"/>
          <w:highlight w:val="none"/>
          <w:lang w:val="en-US" w:eastAsia="zh-CN" w:bidi="ar-SA"/>
        </w:rPr>
        <w:t>。</w:t>
      </w:r>
    </w:p>
    <w:p w14:paraId="57C60385">
      <w:pPr>
        <w:keepNext w:val="0"/>
        <w:keepLines w:val="0"/>
        <w:pageBreakBefore w:val="0"/>
        <w:widowControl w:val="0"/>
        <w:numPr>
          <w:ilvl w:val="0"/>
          <w:numId w:val="0"/>
        </w:numPr>
        <w:kinsoku/>
        <w:wordWrap w:val="0"/>
        <w:overflowPunct/>
        <w:topLinePunct/>
        <w:autoSpaceDE/>
        <w:autoSpaceDN/>
        <w:bidi w:val="0"/>
        <w:adjustRightInd w:val="0"/>
        <w:snapToGrid/>
        <w:spacing w:before="0" w:beforeLines="0" w:afterLines="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highlight w:val="none"/>
          <w:lang w:val="en-US" w:eastAsia="zh-CN" w:bidi="ar-SA"/>
        </w:rPr>
      </w:pPr>
      <w:r>
        <w:rPr>
          <w:rFonts w:hint="eastAsia" w:ascii="宋体" w:hAnsi="宋体" w:eastAsia="仿宋_GB2312" w:cs="仿宋_GB2312"/>
          <w:bCs w:val="0"/>
          <w:snapToGrid w:val="0"/>
          <w:kern w:val="2"/>
          <w:sz w:val="32"/>
          <w:szCs w:val="32"/>
          <w:highlight w:val="none"/>
          <w:shd w:val="clear" w:color="auto" w:fill="auto"/>
          <w:lang w:val="en-US" w:eastAsia="zh" w:bidi="ar"/>
        </w:rPr>
        <w:t>第十二条</w:t>
      </w:r>
      <w:r>
        <w:rPr>
          <w:rFonts w:hint="eastAsia" w:ascii="宋体" w:hAnsi="宋体" w:eastAsia="仿宋_GB2312" w:cs="仿宋_GB2312"/>
          <w:bCs w:val="0"/>
          <w:snapToGrid w:val="0"/>
          <w:kern w:val="2"/>
          <w:sz w:val="32"/>
          <w:szCs w:val="32"/>
          <w:highlight w:val="none"/>
          <w:shd w:val="clear" w:color="auto" w:fill="auto"/>
          <w:lang w:val="en-US" w:eastAsia="zh-CN" w:bidi="ar"/>
        </w:rPr>
        <w:t>规定了建立</w:t>
      </w:r>
      <w:r>
        <w:rPr>
          <w:rFonts w:hint="eastAsia" w:ascii="宋体" w:hAnsi="宋体" w:eastAsia="仿宋_GB2312" w:cs="仿宋_GB2312"/>
          <w:b w:val="0"/>
          <w:bCs w:val="0"/>
          <w:kern w:val="2"/>
          <w:sz w:val="32"/>
          <w:szCs w:val="32"/>
          <w:highlight w:val="none"/>
          <w:shd w:val="clear" w:color="auto" w:fill="auto"/>
          <w:lang w:val="en-US" w:eastAsia="zh" w:bidi="ar"/>
        </w:rPr>
        <w:t>评估</w:t>
      </w:r>
      <w:r>
        <w:rPr>
          <w:rFonts w:hint="eastAsia" w:cs="仿宋_GB2312"/>
          <w:b w:val="0"/>
          <w:bCs w:val="0"/>
          <w:kern w:val="2"/>
          <w:sz w:val="32"/>
          <w:szCs w:val="32"/>
          <w:highlight w:val="none"/>
          <w:shd w:val="clear" w:color="auto" w:fill="auto"/>
          <w:lang w:val="en-US" w:eastAsia="zh" w:bidi="ar"/>
        </w:rPr>
        <w:t>机制</w:t>
      </w:r>
      <w:r>
        <w:rPr>
          <w:rFonts w:hint="eastAsia" w:ascii="宋体" w:hAnsi="宋体" w:eastAsia="仿宋_GB2312" w:cs="仿宋_GB2312"/>
          <w:b w:val="0"/>
          <w:bCs w:val="0"/>
          <w:snapToGrid w:val="0"/>
          <w:kern w:val="2"/>
          <w:sz w:val="32"/>
          <w:szCs w:val="32"/>
          <w:highlight w:val="none"/>
          <w:shd w:val="clear" w:color="auto" w:fill="auto"/>
          <w:lang w:val="en-US" w:eastAsia="zh-CN" w:bidi="ar"/>
        </w:rPr>
        <w:t>。</w:t>
      </w:r>
      <w:r>
        <w:rPr>
          <w:rFonts w:hint="eastAsia" w:ascii="仿宋_GB2312" w:hAnsi="仿宋_GB2312" w:eastAsia="仿宋_GB2312" w:cs="仿宋_GB2312"/>
          <w:b w:val="0"/>
          <w:bCs w:val="0"/>
          <w:color w:val="000000"/>
          <w:kern w:val="2"/>
          <w:sz w:val="32"/>
          <w:szCs w:val="32"/>
          <w:highlight w:val="none"/>
          <w:lang w:val="en-US" w:eastAsia="zh-CN" w:bidi="ar-SA"/>
        </w:rPr>
        <w:t>市、区城市管理部门会同市场监管、商务、生态环境等部门建立年度评估机制，确保工作成效，提升体系化、标准化、规范化水平。</w:t>
      </w:r>
    </w:p>
    <w:p w14:paraId="507ED73A">
      <w:pPr>
        <w:pStyle w:val="2"/>
        <w:keepNext w:val="0"/>
        <w:keepLines w:val="0"/>
        <w:pageBreakBefore w:val="0"/>
        <w:widowControl w:val="0"/>
        <w:numPr>
          <w:ilvl w:val="0"/>
          <w:numId w:val="0"/>
        </w:numPr>
        <w:kinsoku/>
        <w:wordWrap/>
        <w:overflowPunct/>
        <w:topLinePunct w:val="0"/>
        <w:autoSpaceDE/>
        <w:autoSpaceDN/>
        <w:bidi w:val="0"/>
        <w:snapToGrid/>
        <w:spacing w:beforeLines="0" w:after="0" w:afterLines="0" w:line="560" w:lineRule="exact"/>
        <w:ind w:firstLine="640" w:firstLineChars="200"/>
        <w:textAlignment w:val="auto"/>
        <w:rPr>
          <w:rFonts w:hint="eastAsia" w:ascii="仿宋_GB2312" w:hAnsi="仿宋_GB2312" w:cs="仿宋_GB2312"/>
          <w:b w:val="0"/>
          <w:bCs w:val="0"/>
          <w:color w:val="000000"/>
          <w:kern w:val="2"/>
          <w:sz w:val="32"/>
          <w:szCs w:val="32"/>
          <w:highlight w:val="none"/>
          <w:lang w:val="en-US" w:eastAsia="zh-CN" w:bidi="ar-SA"/>
        </w:rPr>
      </w:pPr>
      <w:r>
        <w:rPr>
          <w:rFonts w:hint="eastAsia" w:ascii="仿宋_GB2312" w:hAnsi="仿宋_GB2312" w:eastAsia="仿宋_GB2312" w:cs="仿宋_GB2312"/>
          <w:b w:val="0"/>
          <w:bCs w:val="0"/>
          <w:color w:val="000000"/>
          <w:kern w:val="2"/>
          <w:sz w:val="32"/>
          <w:szCs w:val="32"/>
          <w:highlight w:val="none"/>
          <w:lang w:val="en-US" w:eastAsia="zh-CN" w:bidi="ar-SA"/>
        </w:rPr>
        <w:t>第十三条规定了实施日期。</w:t>
      </w:r>
    </w:p>
    <w:p w14:paraId="66EABF2D">
      <w:bookmarkStart w:id="0" w:name="_GoBack"/>
      <w:bookmarkEnd w:id="0"/>
    </w:p>
    <w:sectPr>
      <w:footerReference r:id="rId3" w:type="default"/>
      <w:pgSz w:w="11906" w:h="16838"/>
      <w:pgMar w:top="2098" w:right="1474" w:bottom="1984" w:left="1587" w:header="851" w:footer="680" w:gutter="0"/>
      <w:pgBorders>
        <w:top w:val="none" w:sz="0" w:space="0"/>
        <w:left w:val="none" w:sz="0" w:space="0"/>
        <w:bottom w:val="none" w:sz="0" w:space="0"/>
        <w:right w:val="none" w:sz="0" w:space="0"/>
      </w:pgBorders>
      <w:pgNumType w:fmt="decimal"/>
      <w:cols w:space="72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BC3FF90-2695-4E43-8422-B5DF3A13B7F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C766A23D-025E-40A9-95A7-6A7B4750878D}"/>
  </w:font>
  <w:font w:name="仿宋_GB2312">
    <w:panose1 w:val="02010609030101010101"/>
    <w:charset w:val="86"/>
    <w:family w:val="auto"/>
    <w:pitch w:val="default"/>
    <w:sig w:usb0="00000001" w:usb1="080E0000" w:usb2="00000000" w:usb3="00000000" w:csb0="00040000" w:csb1="00000000"/>
    <w:embedRegular r:id="rId3" w:fontKey="{6EEC34C1-C4F1-4C08-A389-9E17785D6C19}"/>
  </w:font>
  <w:font w:name="仿宋">
    <w:panose1 w:val="02010609060101010101"/>
    <w:charset w:val="86"/>
    <w:family w:val="modern"/>
    <w:pitch w:val="default"/>
    <w:sig w:usb0="800002BF" w:usb1="38CF7CFA" w:usb2="00000016" w:usb3="00000000" w:csb0="00040001" w:csb1="00000000"/>
    <w:embedRegular r:id="rId4" w:fontKey="{76ED041D-FAF2-4CD1-8D6C-44205A7B08ED}"/>
  </w:font>
  <w:font w:name="方正小标宋简体">
    <w:panose1 w:val="02000000000000000000"/>
    <w:charset w:val="86"/>
    <w:family w:val="script"/>
    <w:pitch w:val="default"/>
    <w:sig w:usb0="00000001" w:usb1="080E0000" w:usb2="00000000" w:usb3="00000000" w:csb0="00040000" w:csb1="00000000"/>
    <w:embedRegular r:id="rId5" w:fontKey="{9A49FC91-BBC9-4116-A4A5-B25ACE8152AC}"/>
  </w:font>
  <w:font w:name="微软雅黑">
    <w:panose1 w:val="020B0503020204020204"/>
    <w:charset w:val="86"/>
    <w:family w:val="auto"/>
    <w:pitch w:val="default"/>
    <w:sig w:usb0="80000287" w:usb1="2ACF3C50" w:usb2="00000016" w:usb3="00000000" w:csb0="0004001F" w:csb1="00000000"/>
    <w:embedRegular r:id="rId6" w:fontKey="{D421A9E5-9FC3-4291-8F7C-0944A99EC3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11EAA">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-390525</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B5D31A">
                          <w:pPr>
                            <w:pStyle w:val="4"/>
                          </w:pPr>
                          <w:r>
                            <w:rPr>
                              <w:rFonts w:hint="eastAsia"/>
                              <w:sz w:val="28"/>
                              <w:szCs w:val="28"/>
                              <w:lang w:eastAsia="zh"/>
                            </w:rPr>
                            <w:t xml:space="preserve">— </w:t>
                          </w:r>
                          <w:r>
                            <w:rPr>
                              <w:rFonts w:hint="eastAsia"/>
                              <w:sz w:val="28"/>
                              <w:szCs w:val="28"/>
                              <w:lang w:eastAsia="zh"/>
                            </w:rPr>
                            <w:fldChar w:fldCharType="begin"/>
                          </w:r>
                          <w:r>
                            <w:rPr>
                              <w:rFonts w:hint="eastAsia"/>
                              <w:sz w:val="28"/>
                              <w:szCs w:val="28"/>
                              <w:lang w:eastAsia="zh"/>
                            </w:rPr>
                            <w:instrText xml:space="preserve"> PAGE  \* MERGEFORMAT </w:instrText>
                          </w:r>
                          <w:r>
                            <w:rPr>
                              <w:rFonts w:hint="eastAsia"/>
                              <w:sz w:val="28"/>
                              <w:szCs w:val="28"/>
                              <w:lang w:eastAsia="zh"/>
                            </w:rPr>
                            <w:fldChar w:fldCharType="separate"/>
                          </w:r>
                          <w:r>
                            <w:rPr>
                              <w:rFonts w:hint="eastAsia"/>
                              <w:sz w:val="28"/>
                              <w:szCs w:val="28"/>
                              <w:lang w:eastAsia="zh"/>
                            </w:rPr>
                            <w:t>1</w:t>
                          </w:r>
                          <w:r>
                            <w:rPr>
                              <w:rFonts w:hint="eastAsia"/>
                              <w:sz w:val="28"/>
                              <w:szCs w:val="28"/>
                              <w:lang w:eastAsia="zh"/>
                            </w:rPr>
                            <w:fldChar w:fldCharType="end"/>
                          </w:r>
                          <w:r>
                            <w:rPr>
                              <w:rFonts w:hint="eastAsia"/>
                              <w:sz w:val="28"/>
                              <w:szCs w:val="28"/>
                              <w:lang w:eastAsia="zh"/>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30.75pt;height:144pt;width:144pt;mso-position-horizontal:outside;mso-position-horizontal-relative:margin;mso-wrap-style:none;z-index:251659264;mso-width-relative:page;mso-height-relative:page;" filled="f" stroked="f" coordsize="21600,21600" o:gfxdata="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7X0941QAAAAgBAAAPAAAAAAAAAAEAIAAAACIAAABkcnMvZG93bnJl&#10;di54bWxQSwECFAAUAAAACACHTuJA9Aknl8cBAACZAwAADgAAAAAAAAABACAAAAAkAQAAZHJzL2Uy&#10;b0RvYy54bWxQSwUGAAAAAAYABgBZAQAAXQUAAAAA&#10;">
              <v:fill on="f" focussize="0,0"/>
              <v:stroke on="f"/>
              <v:imagedata o:title=""/>
              <o:lock v:ext="edit" aspectratio="f"/>
              <v:textbox inset="0mm,0mm,0mm,0mm" style="mso-fit-shape-to-text:t;">
                <w:txbxContent>
                  <w:p w14:paraId="0BB5D31A">
                    <w:pPr>
                      <w:pStyle w:val="4"/>
                    </w:pPr>
                    <w:r>
                      <w:rPr>
                        <w:rFonts w:hint="eastAsia"/>
                        <w:sz w:val="28"/>
                        <w:szCs w:val="28"/>
                        <w:lang w:eastAsia="zh"/>
                      </w:rPr>
                      <w:t xml:space="preserve">— </w:t>
                    </w:r>
                    <w:r>
                      <w:rPr>
                        <w:rFonts w:hint="eastAsia"/>
                        <w:sz w:val="28"/>
                        <w:szCs w:val="28"/>
                        <w:lang w:eastAsia="zh"/>
                      </w:rPr>
                      <w:fldChar w:fldCharType="begin"/>
                    </w:r>
                    <w:r>
                      <w:rPr>
                        <w:rFonts w:hint="eastAsia"/>
                        <w:sz w:val="28"/>
                        <w:szCs w:val="28"/>
                        <w:lang w:eastAsia="zh"/>
                      </w:rPr>
                      <w:instrText xml:space="preserve"> PAGE  \* MERGEFORMAT </w:instrText>
                    </w:r>
                    <w:r>
                      <w:rPr>
                        <w:rFonts w:hint="eastAsia"/>
                        <w:sz w:val="28"/>
                        <w:szCs w:val="28"/>
                        <w:lang w:eastAsia="zh"/>
                      </w:rPr>
                      <w:fldChar w:fldCharType="separate"/>
                    </w:r>
                    <w:r>
                      <w:rPr>
                        <w:rFonts w:hint="eastAsia"/>
                        <w:sz w:val="28"/>
                        <w:szCs w:val="28"/>
                        <w:lang w:eastAsia="zh"/>
                      </w:rPr>
                      <w:t>1</w:t>
                    </w:r>
                    <w:r>
                      <w:rPr>
                        <w:rFonts w:hint="eastAsia"/>
                        <w:sz w:val="28"/>
                        <w:szCs w:val="28"/>
                        <w:lang w:eastAsia="zh"/>
                      </w:rPr>
                      <w:fldChar w:fldCharType="end"/>
                    </w:r>
                    <w:r>
                      <w:rPr>
                        <w:rFonts w:hint="eastAsia"/>
                        <w:sz w:val="28"/>
                        <w:szCs w:val="28"/>
                        <w:lang w:eastAsia="zh"/>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M4YzFhMGNiNWM4NTJmYjVlYjgyODg0ZDA5YWE1YTMifQ=="/>
  </w:docVars>
  <w:rsids>
    <w:rsidRoot w:val="43BF6587"/>
    <w:rsid w:val="43BF6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仿宋_GB2312" w:cs="Times New Roman"/>
      <w:snapToGrid w:val="0"/>
      <w:kern w:val="32"/>
      <w:sz w:val="32"/>
      <w:szCs w:val="32"/>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40" w:line="276" w:lineRule="auto"/>
    </w:pPr>
  </w:style>
  <w:style w:type="paragraph" w:customStyle="1" w:styleId="3">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widowControl/>
      <w:spacing w:before="100" w:beforeAutospacing="1" w:after="100" w:afterAutospacing="1"/>
      <w:jc w:val="left"/>
    </w:pPr>
    <w:rPr>
      <w:rFonts w:ascii="宋体" w:hAnsi="宋体" w:eastAsia="宋体" w:cs="宋体"/>
      <w:sz w:val="24"/>
      <w:szCs w:val="24"/>
    </w:rPr>
  </w:style>
  <w:style w:type="paragraph" w:customStyle="1" w:styleId="8">
    <w:name w:val="正文文"/>
    <w:basedOn w:val="1"/>
    <w:qFormat/>
    <w:uiPriority w:val="0"/>
    <w:pPr>
      <w:wordWrap w:val="0"/>
      <w:topLinePunct/>
      <w:ind w:right="-6" w:rightChars="-2" w:firstLine="560"/>
    </w:pPr>
    <w:rPr>
      <w:rFonts w:ascii="仿宋" w:hAnsi="仿宋" w:eastAsia="仿宋"/>
      <w:szCs w:val="28"/>
      <w:shd w:val="clear" w:color="auto" w:fill="FFFFFF"/>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2026-08-13T07:07:00Z</dcterms:created>
  <dc:creator>孙彤</dc:creator>
  <cp:lastModifiedBy>孙彤</cp:lastModifiedBy>
  <dcterms:modified xsi:type="dcterms:W3CDTF">2026-08-13T07:08:09Z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1FB49C2383F047BEA996D605308DAF96_11</vt:lpwstr>
  </property>
</Properties>
</file>