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FA2B8">
      <w:pPr>
        <w:keepNext w:val="0"/>
        <w:keepLines w:val="0"/>
        <w:widowControl/>
        <w:ind w:firstLine="320" w:firstLineChars="100"/>
        <w:jc w:val="left"/>
        <w:outlineLvl w:val="9"/>
        <w:rPr>
          <w:rFonts w:hint="default" w:ascii="黑体" w:hAnsi="黑体" w:eastAsia="黑体" w:cs="黑体"/>
          <w:snapToGrid w:val="0"/>
          <w:kern w:val="32"/>
          <w:sz w:val="32"/>
          <w:szCs w:val="48"/>
          <w:highlight w:val="none"/>
          <w:lang w:val="en-US" w:eastAsia="zh-CN" w:bidi="ar-SA"/>
        </w:rPr>
      </w:pPr>
      <w:r>
        <w:rPr>
          <w:rFonts w:hint="eastAsia" w:ascii="黑体" w:hAnsi="黑体" w:eastAsia="黑体" w:cs="黑体"/>
          <w:snapToGrid w:val="0"/>
          <w:kern w:val="32"/>
          <w:sz w:val="32"/>
          <w:szCs w:val="48"/>
          <w:highlight w:val="none"/>
          <w:lang w:val="en-US" w:eastAsia="zh-CN" w:bidi="ar-SA"/>
        </w:rPr>
        <w:t>附件1</w:t>
      </w:r>
    </w:p>
    <w:p w14:paraId="4B20D5A5">
      <w:pPr>
        <w:pStyle w:val="8"/>
        <w:wordWrap/>
        <w:adjustRightInd w:val="0"/>
        <w:snapToGrid w:val="0"/>
        <w:spacing w:line="600" w:lineRule="exact"/>
        <w:ind w:left="0" w:leftChars="0" w:right="0" w:rightChars="0" w:firstLine="0" w:firstLineChars="0"/>
        <w:jc w:val="left"/>
        <w:rPr>
          <w:rFonts w:hint="eastAsia" w:ascii="宋体" w:hAnsi="宋体" w:eastAsia="黑体" w:cs="黑体"/>
          <w:snapToGrid/>
          <w:kern w:val="2"/>
          <w:sz w:val="44"/>
          <w:szCs w:val="44"/>
          <w:highlight w:val="none"/>
          <w:lang w:val="en-US" w:eastAsia="zh-CN" w:bidi="ar-SA"/>
        </w:rPr>
      </w:pPr>
    </w:p>
    <w:p w14:paraId="65646367">
      <w:pPr>
        <w:keepNext w:val="0"/>
        <w:keepLines w:val="0"/>
        <w:pageBreakBefore w:val="0"/>
        <w:widowControl w:val="0"/>
        <w:suppressAutoHyphens/>
        <w:kinsoku/>
        <w:overflowPunct/>
        <w:topLinePunct w:val="0"/>
        <w:autoSpaceDE/>
        <w:autoSpaceDN/>
        <w:bidi w:val="0"/>
        <w:snapToGrid/>
        <w:spacing w:line="600" w:lineRule="exact"/>
        <w:ind w:firstLine="0" w:firstLineChars="0"/>
        <w:jc w:val="center"/>
        <w:textAlignment w:val="auto"/>
        <w:outlineLvl w:val="0"/>
        <w:rPr>
          <w:rFonts w:hint="eastAsia" w:ascii="方正小标宋简体" w:hAnsi="宋体" w:eastAsia="方正小标宋简体" w:cs="Times New Roman"/>
          <w:kern w:val="10"/>
          <w:sz w:val="44"/>
          <w:szCs w:val="44"/>
          <w:highlight w:val="none"/>
          <w:lang w:val="en-US" w:eastAsia="zh-CN" w:bidi="ar-SA"/>
        </w:rPr>
      </w:pPr>
      <w:r>
        <w:rPr>
          <w:rFonts w:hint="eastAsia" w:ascii="方正小标宋简体" w:hAnsi="宋体" w:eastAsia="方正小标宋简体" w:cs="Times New Roman"/>
          <w:kern w:val="10"/>
          <w:sz w:val="44"/>
          <w:szCs w:val="44"/>
          <w:highlight w:val="none"/>
          <w:lang w:val="en-US" w:eastAsia="zh-CN" w:bidi="ar-SA"/>
        </w:rPr>
        <w:t>北京市餐厨废弃油脂管理规定</w:t>
      </w:r>
    </w:p>
    <w:p w14:paraId="0C5306D4">
      <w:pPr>
        <w:keepNext w:val="0"/>
        <w:keepLines w:val="0"/>
        <w:pageBreakBefore w:val="0"/>
        <w:kinsoku/>
        <w:overflowPunct/>
        <w:topLinePunct w:val="0"/>
        <w:autoSpaceDE/>
        <w:autoSpaceDN/>
        <w:bidi w:val="0"/>
        <w:adjustRightInd w:val="0"/>
        <w:snapToGrid/>
        <w:spacing w:line="600" w:lineRule="exact"/>
        <w:jc w:val="center"/>
        <w:textAlignment w:val="auto"/>
        <w:outlineLvl w:val="0"/>
        <w:rPr>
          <w:rFonts w:hint="eastAsia" w:ascii="楷体_GB2312" w:hAnsi="楷体_GB2312" w:eastAsia="楷体_GB2312" w:cs="楷体_GB2312"/>
          <w:kern w:val="10"/>
          <w:sz w:val="32"/>
          <w:szCs w:val="32"/>
          <w:highlight w:val="none"/>
          <w:lang w:val="en-US" w:eastAsia="zh-CN"/>
        </w:rPr>
      </w:pPr>
      <w:r>
        <w:rPr>
          <w:rFonts w:hint="eastAsia" w:ascii="楷体_GB2312" w:hAnsi="楷体_GB2312" w:eastAsia="楷体_GB2312" w:cs="楷体_GB2312"/>
          <w:kern w:val="10"/>
          <w:sz w:val="32"/>
          <w:szCs w:val="32"/>
          <w:highlight w:val="none"/>
          <w:lang w:val="en-US" w:eastAsia="zh-CN"/>
        </w:rPr>
        <w:t>（征求意见稿）</w:t>
      </w:r>
    </w:p>
    <w:p w14:paraId="4F7139F4">
      <w:pPr>
        <w:pStyle w:val="3"/>
        <w:spacing w:after="0" w:line="600" w:lineRule="exact"/>
        <w:rPr>
          <w:rFonts w:hint="eastAsia" w:ascii="宋体" w:hAnsi="宋体" w:eastAsia="仿宋_GB2312" w:cs="Times New Roman"/>
          <w:sz w:val="44"/>
          <w:szCs w:val="44"/>
          <w:highlight w:val="none"/>
          <w:lang w:val="en-US" w:eastAsia="zh-CN"/>
        </w:rPr>
      </w:pPr>
    </w:p>
    <w:p w14:paraId="6B9506D9">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第一条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目的和依据</w:t>
      </w:r>
    </w:p>
    <w:p w14:paraId="143D36D1">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为加强本市餐厨废弃油脂管理，促进资源循环利用，根据《中华人民共和国生态环境法典》《中华人民共和国食品安全法》《城市生活垃圾管理办法》《北京市生活垃圾管理条例》等有关法律、法规、规章，结合本市实际，制定本规定。</w:t>
      </w:r>
    </w:p>
    <w:p w14:paraId="57A86556">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第二条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适用范围和定义</w:t>
      </w:r>
    </w:p>
    <w:p w14:paraId="185D78A1">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本规定适用于本市行政区域内餐厨废弃油脂的排放、收运、处理、利用及相关监督管理活动。</w:t>
      </w:r>
    </w:p>
    <w:p w14:paraId="3F35B7A0">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本规定所称的餐厨废弃油脂，是指从事餐饮经营活动的企业和机关、部队、学校、企业事业等单位集体食堂（以下简称餐饮服务单位）在食品加工、饮食服务、单位供餐等活动中产生的不可再食用的动植物油脂和油水混合物。</w:t>
      </w:r>
    </w:p>
    <w:p w14:paraId="0C9B4C2F">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第三条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市级管理部门职责</w:t>
      </w:r>
    </w:p>
    <w:p w14:paraId="12F08CBD">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市城市管理委负责统筹协调、督促指导本市餐厨废弃油脂排放登记、收运、处理和利用的监督管理工作。</w:t>
      </w:r>
    </w:p>
    <w:p w14:paraId="7C5F3955">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市市场监管局负责将餐厨废弃油脂的排放和流向纳入对餐饮服务单位的日常监督管理范围，指导区市场监管部门依法查处生产、销售、使用以餐厨废弃油脂为原料的食用油的违法行为。</w:t>
      </w:r>
    </w:p>
    <w:p w14:paraId="7A24C9F0">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市商务局负责宣传引导餐饮服务单位将餐厨废弃油脂交由辖区确定的收运单位。</w:t>
      </w:r>
    </w:p>
    <w:p w14:paraId="51F09F52">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市生态环境局负责指导区生态环境部门依法查处厨余垃圾处理设施运行管理单位超标排放污染物等环境违法行为。</w:t>
      </w:r>
    </w:p>
    <w:p w14:paraId="7B2A5989">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市城管执法局负责指导各区城管执法部门督促属地街道</w:t>
      </w:r>
      <w:r>
        <w:rPr>
          <w:rFonts w:hint="eastAsia" w:cs="Times New Roman"/>
          <w:snapToGrid w:val="0"/>
          <w:kern w:val="32"/>
          <w:sz w:val="32"/>
          <w:szCs w:val="32"/>
          <w:highlight w:val="none"/>
          <w:lang w:val="en-US" w:eastAsia="zh" w:bidi="ar-SA"/>
        </w:rPr>
        <w:t>（</w:t>
      </w:r>
      <w:r>
        <w:rPr>
          <w:rFonts w:hint="default" w:ascii="宋体" w:hAnsi="宋体" w:eastAsia="仿宋_GB2312" w:cs="Times New Roman"/>
          <w:snapToGrid w:val="0"/>
          <w:kern w:val="32"/>
          <w:sz w:val="32"/>
          <w:szCs w:val="32"/>
          <w:highlight w:val="none"/>
          <w:lang w:val="en-US" w:eastAsia="zh-CN" w:bidi="ar-SA"/>
        </w:rPr>
        <w:t>乡镇</w:t>
      </w:r>
      <w:r>
        <w:rPr>
          <w:rFonts w:hint="eastAsia" w:cs="Times New Roman"/>
          <w:snapToGrid w:val="0"/>
          <w:kern w:val="32"/>
          <w:sz w:val="32"/>
          <w:szCs w:val="32"/>
          <w:highlight w:val="none"/>
          <w:lang w:val="en-US" w:eastAsia="zh" w:bidi="ar-SA"/>
        </w:rPr>
        <w:t>）</w:t>
      </w:r>
      <w:r>
        <w:rPr>
          <w:rFonts w:hint="default" w:ascii="宋体" w:hAnsi="宋体" w:eastAsia="仿宋_GB2312" w:cs="Times New Roman"/>
          <w:snapToGrid w:val="0"/>
          <w:kern w:val="32"/>
          <w:sz w:val="32"/>
          <w:szCs w:val="32"/>
          <w:highlight w:val="none"/>
          <w:lang w:val="en-US" w:eastAsia="zh-CN" w:bidi="ar-SA"/>
        </w:rPr>
        <w:t>综合行政执法队依法查处餐饮服务单位未办理生活垃圾排放登记或者登记信息虚假、交由无资质的单位和个人收运处置，查处无资质单位和个人擅自收运处置厨余垃圾，查处收运单位随意倾倒、丢弃、遗撒、堆放生活垃圾等违法行为。</w:t>
      </w:r>
    </w:p>
    <w:p w14:paraId="363D0016">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市发展改革、经济和信息化、公安等部门按照各自职责，协同实施本规定。</w:t>
      </w:r>
    </w:p>
    <w:p w14:paraId="47CB70B3">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第四条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区</w:t>
      </w:r>
      <w:r>
        <w:rPr>
          <w:rFonts w:hint="eastAsia" w:cs="Times New Roman"/>
          <w:snapToGrid w:val="0"/>
          <w:kern w:val="32"/>
          <w:sz w:val="32"/>
          <w:szCs w:val="32"/>
          <w:highlight w:val="none"/>
          <w:lang w:val="en-US" w:eastAsia="zh-CN" w:bidi="ar-SA"/>
        </w:rPr>
        <w:t>级</w:t>
      </w:r>
      <w:r>
        <w:rPr>
          <w:rFonts w:hint="default" w:ascii="宋体" w:hAnsi="宋体" w:eastAsia="仿宋_GB2312" w:cs="Times New Roman"/>
          <w:snapToGrid w:val="0"/>
          <w:kern w:val="32"/>
          <w:sz w:val="32"/>
          <w:szCs w:val="32"/>
          <w:highlight w:val="none"/>
          <w:lang w:val="en-US" w:eastAsia="zh-CN" w:bidi="ar-SA"/>
        </w:rPr>
        <w:t>职责</w:t>
      </w:r>
    </w:p>
    <w:p w14:paraId="00FF31EE">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区城市管理部门按照区人民政府要求，统筹辖区内餐厨废弃油脂的排放登记、收运、处理和利用工作的日常监督管理</w:t>
      </w:r>
      <w:r>
        <w:rPr>
          <w:rFonts w:hint="eastAsia" w:cs="Times New Roman"/>
          <w:snapToGrid w:val="0"/>
          <w:kern w:val="32"/>
          <w:sz w:val="32"/>
          <w:szCs w:val="32"/>
          <w:highlight w:val="none"/>
          <w:lang w:val="en-US" w:eastAsia="zh-CN" w:bidi="ar-SA"/>
        </w:rPr>
        <w:t>，</w:t>
      </w:r>
      <w:r>
        <w:rPr>
          <w:rFonts w:hint="default" w:ascii="宋体" w:hAnsi="宋体" w:eastAsia="仿宋_GB2312" w:cs="Times New Roman"/>
          <w:snapToGrid w:val="0"/>
          <w:kern w:val="32"/>
          <w:sz w:val="32"/>
          <w:szCs w:val="32"/>
          <w:highlight w:val="none"/>
          <w:lang w:val="en-US" w:eastAsia="zh-CN" w:bidi="ar-SA"/>
        </w:rPr>
        <w:t>主要职责</w:t>
      </w:r>
      <w:r>
        <w:rPr>
          <w:rFonts w:hint="eastAsia" w:cs="Times New Roman"/>
          <w:snapToGrid w:val="0"/>
          <w:kern w:val="32"/>
          <w:sz w:val="32"/>
          <w:szCs w:val="32"/>
          <w:highlight w:val="none"/>
          <w:lang w:val="en-US" w:eastAsia="zh" w:bidi="ar-SA"/>
        </w:rPr>
        <w:t>包括</w:t>
      </w:r>
      <w:r>
        <w:rPr>
          <w:rFonts w:hint="default" w:ascii="宋体" w:hAnsi="宋体" w:eastAsia="仿宋_GB2312" w:cs="Times New Roman"/>
          <w:snapToGrid w:val="0"/>
          <w:kern w:val="32"/>
          <w:sz w:val="32"/>
          <w:szCs w:val="32"/>
          <w:highlight w:val="none"/>
          <w:lang w:val="en-US" w:eastAsia="zh-CN" w:bidi="ar-SA"/>
        </w:rPr>
        <w:t>：牵头完善辖区餐厨废弃油脂排放登记制度和台账管理制度，并协同相关部门共同督促落实；协调有关部门、街道（乡镇）督促辖区餐饮服务单位依法履行相关责任和义务，遵守相关规定；确定辖区收运单位；建立完善辖区餐厨废弃油脂的收运、处理和利用体系，强化流向流量管理；办理辖区从事餐厨废弃油脂经营性收集运输服务行政许可及车辆准运证。</w:t>
      </w:r>
    </w:p>
    <w:p w14:paraId="5639CFEE">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区市场监管、商务、生态环境、城管执法等部门按分工协同实施本规定</w:t>
      </w:r>
      <w:r>
        <w:rPr>
          <w:rFonts w:hint="eastAsia" w:ascii="宋体" w:hAnsi="宋体" w:cs="Times New Roman"/>
          <w:snapToGrid w:val="0"/>
          <w:kern w:val="32"/>
          <w:sz w:val="32"/>
          <w:szCs w:val="32"/>
          <w:highlight w:val="none"/>
          <w:lang w:val="en-US" w:eastAsia="zh-CN" w:bidi="ar-SA"/>
        </w:rPr>
        <w:t>，其他</w:t>
      </w:r>
      <w:r>
        <w:rPr>
          <w:rFonts w:hint="default" w:ascii="宋体" w:hAnsi="宋体" w:eastAsia="仿宋_GB2312" w:cs="Times New Roman"/>
          <w:snapToGrid w:val="0"/>
          <w:kern w:val="32"/>
          <w:sz w:val="32"/>
          <w:szCs w:val="32"/>
          <w:highlight w:val="none"/>
          <w:lang w:val="en-US" w:eastAsia="zh-CN" w:bidi="ar-SA"/>
        </w:rPr>
        <w:t>相关部门按照各自职责协同落实。</w:t>
      </w:r>
    </w:p>
    <w:p w14:paraId="5EE32822">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第五条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排放主体责任</w:t>
      </w:r>
    </w:p>
    <w:p w14:paraId="395245A4">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餐饮服务单位作为餐厨废弃油脂的排放责任主体，应遵守下列规定：</w:t>
      </w:r>
    </w:p>
    <w:p w14:paraId="1431A0CF">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eastAsia" w:cs="Times New Roman"/>
          <w:snapToGrid w:val="0"/>
          <w:kern w:val="32"/>
          <w:sz w:val="32"/>
          <w:szCs w:val="32"/>
          <w:highlight w:val="none"/>
          <w:lang w:val="en-US" w:eastAsia="zh-CN" w:bidi="ar-SA"/>
        </w:rPr>
        <w:t>（一）</w:t>
      </w:r>
      <w:r>
        <w:rPr>
          <w:rFonts w:hint="default" w:ascii="宋体" w:hAnsi="宋体" w:eastAsia="仿宋_GB2312" w:cs="Times New Roman"/>
          <w:snapToGrid w:val="0"/>
          <w:kern w:val="32"/>
          <w:sz w:val="32"/>
          <w:szCs w:val="32"/>
          <w:highlight w:val="none"/>
          <w:lang w:val="en-US" w:eastAsia="zh-CN" w:bidi="ar-SA"/>
        </w:rPr>
        <w:t>与本规定第八条确定的区域收运单位签订餐厨废弃油脂收集运输服务合同（以下简称收运服务合同），委托收运餐厨废弃油脂；</w:t>
      </w:r>
    </w:p>
    <w:p w14:paraId="09268348">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eastAsia" w:cs="Times New Roman"/>
          <w:snapToGrid w:val="0"/>
          <w:kern w:val="32"/>
          <w:sz w:val="32"/>
          <w:szCs w:val="32"/>
          <w:highlight w:val="none"/>
          <w:lang w:val="en-US" w:eastAsia="zh-CN" w:bidi="ar-SA"/>
        </w:rPr>
        <w:t>（二）</w:t>
      </w:r>
      <w:r>
        <w:rPr>
          <w:rFonts w:hint="default" w:ascii="宋体" w:hAnsi="宋体" w:eastAsia="仿宋_GB2312" w:cs="Times New Roman"/>
          <w:snapToGrid w:val="0"/>
          <w:kern w:val="32"/>
          <w:sz w:val="32"/>
          <w:szCs w:val="32"/>
          <w:highlight w:val="none"/>
          <w:lang w:val="en-US" w:eastAsia="zh-CN" w:bidi="ar-SA"/>
        </w:rPr>
        <w:t>向所在地的街道（乡镇）进行餐厨废弃油脂排放登记，详细记录餐厨废弃油脂的种类、数量、收运单位、收运时间、去向等信息；</w:t>
      </w:r>
    </w:p>
    <w:p w14:paraId="01B76142">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eastAsia" w:cs="Times New Roman"/>
          <w:snapToGrid w:val="0"/>
          <w:kern w:val="32"/>
          <w:sz w:val="32"/>
          <w:szCs w:val="32"/>
          <w:highlight w:val="none"/>
          <w:lang w:val="en-US" w:eastAsia="zh-CN" w:bidi="ar-SA"/>
        </w:rPr>
        <w:t>（三）</w:t>
      </w:r>
      <w:r>
        <w:rPr>
          <w:rFonts w:hint="default" w:ascii="宋体" w:hAnsi="宋体" w:eastAsia="仿宋_GB2312" w:cs="Times New Roman"/>
          <w:snapToGrid w:val="0"/>
          <w:kern w:val="32"/>
          <w:sz w:val="32"/>
          <w:szCs w:val="32"/>
          <w:highlight w:val="none"/>
          <w:lang w:val="en-US" w:eastAsia="zh-CN" w:bidi="ar-SA"/>
        </w:rPr>
        <w:t>按要求填报电子联单。</w:t>
      </w:r>
    </w:p>
    <w:p w14:paraId="0DBEA56F">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第六条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收运单位确定方式</w:t>
      </w:r>
    </w:p>
    <w:p w14:paraId="09244858">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区城市管理部门应根据辖区餐厨废弃油脂的产生数量、收运作业面积等情况，设定与之相匹配的收运单位数量，划定相应的收运区域。</w:t>
      </w:r>
    </w:p>
    <w:p w14:paraId="1BAA215D">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区城市管理部门应通过招标等公平竞争方式确定收运单位，并向社会公开。</w:t>
      </w:r>
    </w:p>
    <w:p w14:paraId="2995B5A7">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第七条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收运单位招标要求</w:t>
      </w:r>
    </w:p>
    <w:p w14:paraId="401CCBFA">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收运单位应满足但不限于以下条件：</w:t>
      </w:r>
    </w:p>
    <w:p w14:paraId="5574161A">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（一）自有与餐厨废弃油脂收运量相适应的收集容器和收运车辆，车辆安装车载终端，并符合本市车辆新能源化要求；容器标志和车辆涂装应符合本市有关规定；</w:t>
      </w:r>
    </w:p>
    <w:p w14:paraId="78AF7294">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（二）在本市具有固定合法的办公场所、自有或获得使用权的车辆停放场地；</w:t>
      </w:r>
    </w:p>
    <w:p w14:paraId="256CAD91">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三）收运作业人员须具备有效的工作证，承诺进入餐饮服务单位食品原料处理和食品加工等场所开展收运作业的人员应符合餐饮服务单位相关要求并保持身体健康，承诺在签订餐厨废弃油脂收集运输服务经营协议（以下简称收运服务经营协议）前完成收运作业人员培训；</w:t>
      </w:r>
    </w:p>
    <w:p w14:paraId="197C9091">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（四）自有符合规定并具备分离提纯能力的厨余垃圾处理设施（以下简称处理设施），或与处理设施运行管理单位签订处理协议，以满足收运的餐厨废弃油脂分离提纯需求；</w:t>
      </w:r>
    </w:p>
    <w:p w14:paraId="41C9F858">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（五）自有资源化利用能力，或提供收运的餐厨废弃油脂的资源化利用协议；鼓励在本市完成资源化利用；</w:t>
      </w:r>
    </w:p>
    <w:p w14:paraId="28B35BCA">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（六）具有健全的技术、质量、安全、统计、监测、排污等方面的管理制度并得到有效执行</w:t>
      </w:r>
      <w:r>
        <w:rPr>
          <w:rFonts w:hint="eastAsia" w:cs="Times New Roman"/>
          <w:snapToGrid w:val="0"/>
          <w:kern w:val="32"/>
          <w:sz w:val="32"/>
          <w:szCs w:val="32"/>
          <w:highlight w:val="none"/>
          <w:lang w:val="en-US" w:eastAsia="zh-CN" w:bidi="ar-SA"/>
        </w:rPr>
        <w:t>。</w:t>
      </w:r>
    </w:p>
    <w:p w14:paraId="06D356DC">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鼓励收运单位建立信息化收运体系，配备物联网感知设备。</w:t>
      </w:r>
    </w:p>
    <w:p w14:paraId="5A9B4502">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第八条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定向收运</w:t>
      </w:r>
    </w:p>
    <w:p w14:paraId="4333DE9C">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区城市管理部门核验本规定第七条相关条件，核验合格后，与中标的收运单位签订收运服务经营协议，规定服务标准、服务范围、服务期限、违约责任、退出机制等内容。</w:t>
      </w:r>
    </w:p>
    <w:p w14:paraId="54EB0484">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收运单位向相应城市管理部门申请取得从事餐厨废弃油脂经营性收集运输服务行政许可决定书及车辆准运证后，方可在规定区域和期限开展收运服务。</w:t>
      </w:r>
    </w:p>
    <w:p w14:paraId="0E64C71C">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ascii="宋体" w:hAnsi="宋体" w:eastAsia="仿宋_GB2312" w:cs="Times New Roman"/>
          <w:i w:val="0"/>
          <w:caps w:val="0"/>
          <w:snapToGrid w:val="0"/>
          <w:color w:val="232930"/>
          <w:spacing w:val="0"/>
          <w:kern w:val="32"/>
          <w:sz w:val="32"/>
          <w:szCs w:val="32"/>
          <w:highlight w:val="none"/>
          <w:shd w:val="clear" w:color="auto" w:fill="auto"/>
          <w:lang w:val="en-US" w:eastAsia="zh-CN" w:bidi="ar-SA"/>
        </w:rPr>
        <w:t>产生餐厨废弃油脂的餐饮服务单位应与所在区域内收运单位签订收运服务合同，并保存收运服务合同备查。收运服务合同应当明确收运的时间、频次、价格、服务标准等内容，确保应收尽收。价格由收运单位与餐饮服务单位根据市场行情协商确定。</w:t>
      </w:r>
    </w:p>
    <w:p w14:paraId="7ED80C80">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第九条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收运作业要求</w:t>
      </w:r>
    </w:p>
    <w:p w14:paraId="0B697325">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收运单位应当遵守下列规定：</w:t>
      </w:r>
    </w:p>
    <w:p w14:paraId="5A80BAB6">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（一）保持收运车辆密闭、整洁、完好，保持车载终端开启，数据实时上传；</w:t>
      </w:r>
    </w:p>
    <w:p w14:paraId="7C9F6DA9">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（二）按照与区城市管理部门签订的收运服务经营协议、与餐饮服务单位签订的收运服务合同要求，定期收运餐厨废弃油脂，确保应收尽收；</w:t>
      </w:r>
    </w:p>
    <w:p w14:paraId="308F866F">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（三）收运餐厨废弃油脂后，及时清理作业场地，运输途中不得遗撒、滴漏餐厨废弃油脂；</w:t>
      </w:r>
    </w:p>
    <w:p w14:paraId="46A540E6">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（四）将收运的餐厨废弃油脂运输至符合规定的处理设施；</w:t>
      </w:r>
    </w:p>
    <w:p w14:paraId="4F91FB4E">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（五）执行电子联单制度，确保联单内容与实际情况相符；</w:t>
      </w:r>
    </w:p>
    <w:p w14:paraId="1BF9F260">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（六）执行相关法律、法规、规章和标准规范。</w:t>
      </w:r>
    </w:p>
    <w:p w14:paraId="00D50F6D">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第十条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处理要求</w:t>
      </w:r>
    </w:p>
    <w:p w14:paraId="513D54D9">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处理设施的运行管理单位应当遵守下列规定：</w:t>
      </w:r>
    </w:p>
    <w:p w14:paraId="344844F6">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（一</w:t>
      </w:r>
      <w:r>
        <w:rPr>
          <w:rFonts w:hint="eastAsia" w:cs="Times New Roman"/>
          <w:snapToGrid w:val="0"/>
          <w:kern w:val="32"/>
          <w:sz w:val="32"/>
          <w:szCs w:val="32"/>
          <w:highlight w:val="none"/>
          <w:lang w:val="en-US" w:eastAsia="zh-CN" w:bidi="ar-SA"/>
        </w:rPr>
        <w:t>）</w:t>
      </w:r>
      <w:r>
        <w:rPr>
          <w:rFonts w:hint="default" w:ascii="宋体" w:hAnsi="宋体" w:eastAsia="仿宋_GB2312" w:cs="Times New Roman"/>
          <w:snapToGrid w:val="0"/>
          <w:kern w:val="32"/>
          <w:sz w:val="32"/>
          <w:szCs w:val="32"/>
          <w:highlight w:val="none"/>
          <w:lang w:val="en-US" w:eastAsia="zh-CN" w:bidi="ar-SA"/>
        </w:rPr>
        <w:t>按照规定处置分离提纯餐厨废弃油脂过程中产生的污</w:t>
      </w:r>
      <w:r>
        <w:rPr>
          <w:rFonts w:hint="default" w:ascii="宋体" w:hAnsi="宋体" w:eastAsia="仿宋_GB2312" w:cs="Times New Roman"/>
          <w:snapToGrid w:val="0"/>
          <w:spacing w:val="-6"/>
          <w:kern w:val="32"/>
          <w:sz w:val="32"/>
          <w:szCs w:val="32"/>
          <w:highlight w:val="none"/>
          <w:lang w:val="en-US" w:eastAsia="zh-CN" w:bidi="ar-SA"/>
        </w:rPr>
        <w:t>水、废气、废渣等，保证处理设施的排放达到国家和本市有关标准；</w:t>
      </w:r>
    </w:p>
    <w:p w14:paraId="37766949">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（二）遵守相关法律、法规、规章和标准规范。</w:t>
      </w:r>
    </w:p>
    <w:p w14:paraId="5BAABCC9">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eastAsia" w:ascii="黑体" w:hAnsi="黑体" w:eastAsia="黑体" w:cs="黑体"/>
          <w:bCs/>
          <w:snapToGrid w:val="0"/>
          <w:kern w:val="32"/>
          <w:sz w:val="32"/>
          <w:szCs w:val="32"/>
          <w:highlight w:val="none"/>
          <w:lang w:val="en-US" w:eastAsia="zh-CN" w:bidi="ar-SA"/>
        </w:rPr>
      </w:pPr>
    </w:p>
    <w:p w14:paraId="42A21EB2">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第十一条</w:t>
      </w:r>
      <w:r>
        <w:rPr>
          <w:rFonts w:hint="eastAsia" w:ascii="黑体" w:hAnsi="黑体" w:eastAsia="黑体" w:cs="黑体"/>
          <w:bCs/>
          <w:snapToGrid w:val="0"/>
          <w:kern w:val="32"/>
          <w:sz w:val="32"/>
          <w:szCs w:val="32"/>
          <w:highlight w:val="none"/>
          <w:lang w:val="en-US" w:eastAsia="zh" w:bidi="ar-SA"/>
        </w:rPr>
        <w:t xml:space="preserve"> </w:t>
      </w:r>
      <w:r>
        <w:rPr>
          <w:rFonts w:hint="default" w:ascii="宋体" w:hAnsi="宋体" w:eastAsia="仿宋_GB2312" w:cs="Times New Roman"/>
          <w:snapToGrid w:val="0"/>
          <w:kern w:val="32"/>
          <w:sz w:val="32"/>
          <w:szCs w:val="32"/>
          <w:highlight w:val="none"/>
          <w:lang w:val="en-US" w:eastAsia="zh-CN" w:bidi="ar-SA"/>
        </w:rPr>
        <w:t>资源化利用要求</w:t>
      </w:r>
    </w:p>
    <w:p w14:paraId="30E482DA">
      <w:pPr>
        <w:keepNext w:val="0"/>
        <w:keepLines w:val="0"/>
        <w:pageBreakBefore w:val="0"/>
        <w:widowControl w:val="0"/>
        <w:kinsoku/>
        <w:overflowPunct/>
        <w:autoSpaceDE/>
        <w:autoSpaceDN/>
        <w:bidi w:val="0"/>
        <w:spacing w:line="560" w:lineRule="exact"/>
        <w:ind w:firstLine="640" w:firstLineChars="200"/>
        <w:jc w:val="both"/>
        <w:textAlignment w:val="auto"/>
        <w:rPr>
          <w:rFonts w:hint="default" w:ascii="宋体" w:hAnsi="宋体" w:eastAsia="仿宋_GB2312" w:cs="Times New Roman"/>
          <w:snapToGrid w:val="0"/>
          <w:kern w:val="32"/>
          <w:sz w:val="32"/>
          <w:szCs w:val="32"/>
          <w:highlight w:val="none"/>
          <w:lang w:val="en-US" w:eastAsia="zh-CN" w:bidi="ar-SA"/>
        </w:rPr>
      </w:pPr>
      <w:r>
        <w:rPr>
          <w:rFonts w:hint="default" w:ascii="宋体" w:hAnsi="宋体" w:eastAsia="仿宋_GB2312" w:cs="Times New Roman"/>
          <w:snapToGrid w:val="0"/>
          <w:kern w:val="32"/>
          <w:sz w:val="32"/>
          <w:szCs w:val="32"/>
          <w:highlight w:val="none"/>
          <w:lang w:val="en-US" w:eastAsia="zh-CN" w:bidi="ar-SA"/>
        </w:rPr>
        <w:t>处理后的餐厨废弃油脂和厨余垃圾处理设施在处理厨余垃圾过程中提取的废弃油脂，应进入符合国家产业发展导向的领域进行资源化利用。鼓励在本市完成资源化利用。出京资源化利用应当遵守国家和本市相关法律、法规、规章的规定。</w:t>
      </w:r>
    </w:p>
    <w:p w14:paraId="0DD17E57">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eastAsia" w:ascii="黑体" w:hAnsi="黑体" w:eastAsia="黑体" w:cs="黑体"/>
          <w:bCs/>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第十二条</w:t>
      </w:r>
      <w:r>
        <w:rPr>
          <w:rFonts w:hint="eastAsia" w:ascii="黑体" w:hAnsi="黑体" w:eastAsia="黑体" w:cs="黑体"/>
          <w:bCs/>
          <w:snapToGrid w:val="0"/>
          <w:kern w:val="32"/>
          <w:sz w:val="32"/>
          <w:szCs w:val="32"/>
          <w:highlight w:val="none"/>
          <w:lang w:val="en-US" w:eastAsia="zh" w:bidi="ar-SA"/>
        </w:rPr>
        <w:t xml:space="preserve"> </w:t>
      </w:r>
      <w:r>
        <w:rPr>
          <w:rFonts w:hint="eastAsia" w:cs="Times New Roman"/>
          <w:bCs w:val="0"/>
          <w:snapToGrid w:val="0"/>
          <w:kern w:val="32"/>
          <w:sz w:val="32"/>
          <w:szCs w:val="32"/>
          <w:highlight w:val="none"/>
          <w:lang w:val="en-US" w:eastAsia="zh-CN" w:bidi="ar-SA"/>
        </w:rPr>
        <w:t>建立</w:t>
      </w:r>
      <w:r>
        <w:rPr>
          <w:rFonts w:hint="default" w:ascii="宋体" w:hAnsi="宋体" w:eastAsia="仿宋_GB2312" w:cs="Times New Roman"/>
          <w:b w:val="0"/>
          <w:bCs w:val="0"/>
          <w:color w:val="auto"/>
          <w:kern w:val="32"/>
          <w:sz w:val="32"/>
          <w:szCs w:val="32"/>
          <w:highlight w:val="none"/>
          <w:lang w:val="en-US" w:eastAsia="zh-CN" w:bidi="ar-SA"/>
        </w:rPr>
        <w:t>评估</w:t>
      </w:r>
      <w:r>
        <w:rPr>
          <w:rFonts w:hint="eastAsia" w:cs="Times New Roman"/>
          <w:b w:val="0"/>
          <w:bCs w:val="0"/>
          <w:kern w:val="32"/>
          <w:sz w:val="32"/>
          <w:szCs w:val="32"/>
          <w:highlight w:val="none"/>
          <w:lang w:val="en-US" w:eastAsia="zh-CN" w:bidi="ar-SA"/>
        </w:rPr>
        <w:t>机制</w:t>
      </w:r>
    </w:p>
    <w:p w14:paraId="2EB7E8C8">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eastAsia" w:ascii="黑体" w:hAnsi="黑体" w:eastAsia="黑体" w:cs="黑体"/>
          <w:bCs/>
          <w:snapToGrid w:val="0"/>
          <w:kern w:val="3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市、区城市管理部门会同市场监管、商务、生态环境等部门建立年度评估机制，确保工作成效，提升体系化、标准化、规范化水平。</w:t>
      </w:r>
    </w:p>
    <w:p w14:paraId="28DE94E9">
      <w:pPr>
        <w:keepNext w:val="0"/>
        <w:keepLines w:val="0"/>
        <w:pageBreakBefore w:val="0"/>
        <w:widowControl w:val="0"/>
        <w:kinsoku/>
        <w:overflowPunct/>
        <w:autoSpaceDE/>
        <w:autoSpaceDN/>
        <w:bidi w:val="0"/>
        <w:spacing w:line="560" w:lineRule="exact"/>
        <w:ind w:firstLine="640" w:firstLineChars="200"/>
        <w:jc w:val="both"/>
        <w:textAlignment w:val="auto"/>
        <w:outlineLvl w:val="0"/>
        <w:rPr>
          <w:rFonts w:hint="default" w:ascii="宋体" w:hAnsi="宋体" w:eastAsia="仿宋_GB2312" w:cs="Times New Roman"/>
          <w:snapToGrid w:val="0"/>
          <w:kern w:val="32"/>
          <w:sz w:val="32"/>
          <w:szCs w:val="32"/>
          <w:highlight w:val="none"/>
          <w:lang w:val="en-US" w:eastAsia="zh-CN" w:bidi="ar-SA"/>
        </w:rPr>
      </w:pPr>
      <w:r>
        <w:rPr>
          <w:rFonts w:hint="eastAsia" w:ascii="黑体" w:hAnsi="黑体" w:eastAsia="黑体" w:cs="黑体"/>
          <w:bCs/>
          <w:snapToGrid w:val="0"/>
          <w:kern w:val="32"/>
          <w:sz w:val="32"/>
          <w:szCs w:val="32"/>
          <w:highlight w:val="none"/>
          <w:lang w:val="en-US" w:eastAsia="zh-CN" w:bidi="ar-SA"/>
        </w:rPr>
        <w:t>第十三条</w:t>
      </w:r>
      <w:r>
        <w:rPr>
          <w:rFonts w:hint="default" w:ascii="宋体" w:hAnsi="宋体" w:eastAsia="仿宋_GB2312" w:cs="Times New Roman"/>
          <w:snapToGrid w:val="0"/>
          <w:color w:val="0000FF"/>
          <w:kern w:val="32"/>
          <w:sz w:val="32"/>
          <w:szCs w:val="32"/>
          <w:highlight w:val="none"/>
          <w:lang w:val="en-US" w:eastAsia="zh-CN" w:bidi="ar-SA"/>
        </w:rPr>
        <w:t xml:space="preserve"> </w:t>
      </w:r>
      <w:r>
        <w:rPr>
          <w:rFonts w:hint="eastAsia" w:ascii="仿宋_GB2312" w:hAnsi="仿宋_GB2312" w:eastAsia="仿宋_GB2312" w:cs="仿宋_GB2312"/>
          <w:snapToGrid w:val="0"/>
          <w:kern w:val="32"/>
          <w:sz w:val="32"/>
          <w:szCs w:val="32"/>
          <w:highlight w:val="none"/>
          <w:lang w:val="en-US" w:eastAsia="zh-CN" w:bidi="ar-SA"/>
        </w:rPr>
        <w:t>本规定自2026年X月XX日起施行</w:t>
      </w:r>
      <w:r>
        <w:rPr>
          <w:rFonts w:hint="default" w:ascii="宋体" w:hAnsi="宋体" w:eastAsia="仿宋_GB2312" w:cs="Times New Roman"/>
          <w:snapToGrid w:val="0"/>
          <w:kern w:val="32"/>
          <w:sz w:val="32"/>
          <w:szCs w:val="32"/>
          <w:highlight w:val="none"/>
          <w:lang w:val="en-US" w:eastAsia="zh-CN" w:bidi="ar-SA"/>
        </w:rPr>
        <w:t>。</w:t>
      </w:r>
    </w:p>
    <w:p w14:paraId="1F62D7F0">
      <w:pPr>
        <w:pStyle w:val="2"/>
        <w:rPr>
          <w:rFonts w:hint="eastAsia"/>
        </w:rPr>
        <w:sectPr>
          <w:footerReference r:id="rId3" w:type="default"/>
          <w:pgSz w:w="11906" w:h="16838"/>
          <w:pgMar w:top="2098" w:right="1474" w:bottom="1984" w:left="1587" w:header="851" w:footer="680" w:gutter="0"/>
          <w:pgBorders>
            <w:top w:val="none" w:sz="0" w:space="0"/>
            <w:left w:val="none" w:sz="0" w:space="0"/>
            <w:bottom w:val="none" w:sz="0" w:space="0"/>
            <w:right w:val="none" w:sz="0" w:space="0"/>
          </w:pgBorders>
          <w:pgNumType w:fmt="decimal"/>
          <w:cols w:space="720" w:num="1"/>
          <w:rtlGutter w:val="0"/>
          <w:docGrid w:type="lines" w:linePitch="318" w:charSpace="0"/>
        </w:sectPr>
      </w:pPr>
      <w:bookmarkStart w:id="0" w:name="_GoBack"/>
      <w:bookmarkEnd w:id="0"/>
    </w:p>
    <w:p w14:paraId="6849EC8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23F8AE-81AD-41A4-AE24-B4D6784109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D6C8FDC-E41E-41BC-B410-E5896FB073B7}"/>
  </w:font>
  <w:font w:name="仿宋_GB2312">
    <w:panose1 w:val="02010609030101010101"/>
    <w:charset w:val="86"/>
    <w:family w:val="auto"/>
    <w:pitch w:val="default"/>
    <w:sig w:usb0="00000001" w:usb1="080E0000" w:usb2="00000000" w:usb3="00000000" w:csb0="00040000" w:csb1="00000000"/>
    <w:embedRegular r:id="rId3" w:fontKey="{543BAFDF-2227-4E78-BCE2-0883C505438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E0000" w:usb2="00000000" w:usb3="00000000" w:csb0="00040000" w:csb1="00000000"/>
    <w:embedRegular r:id="rId4" w:fontKey="{05FB95FA-0FF3-4C6D-BC6C-8B6EBCAAC92C}"/>
  </w:font>
  <w:font w:name="楷体_GB2312">
    <w:panose1 w:val="02010609030101010101"/>
    <w:charset w:val="86"/>
    <w:family w:val="modern"/>
    <w:pitch w:val="default"/>
    <w:sig w:usb0="00000001" w:usb1="080E0000" w:usb2="00000000" w:usb3="00000000" w:csb0="00040000" w:csb1="00000000"/>
    <w:embedRegular r:id="rId5" w:fontKey="{A20A0877-F516-4544-BD5E-1C7AEAA64D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B7B7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-390525</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9966FE">
                          <w:pPr>
                            <w:pStyle w:val="5"/>
                          </w:pPr>
                          <w:r>
                            <w:rPr>
                              <w:rFonts w:hint="eastAsia"/>
                              <w:sz w:val="28"/>
                              <w:szCs w:val="28"/>
                              <w:lang w:eastAsia="zh"/>
                            </w:rPr>
                            <w:t xml:space="preserve">— </w:t>
                          </w:r>
                          <w:r>
                            <w:rPr>
                              <w:rFonts w:hint="eastAsia"/>
                              <w:sz w:val="28"/>
                              <w:szCs w:val="28"/>
                              <w:lang w:eastAsia="zh"/>
                            </w:rPr>
                            <w:fldChar w:fldCharType="begin"/>
                          </w:r>
                          <w:r>
                            <w:rPr>
                              <w:rFonts w:hint="eastAsia"/>
                              <w:sz w:val="28"/>
                              <w:szCs w:val="28"/>
                              <w:lang w:eastAsia="zh"/>
                            </w:rPr>
                            <w:instrText xml:space="preserve"> PAGE  \* MERGEFORMAT </w:instrText>
                          </w:r>
                          <w:r>
                            <w:rPr>
                              <w:rFonts w:hint="eastAsia"/>
                              <w:sz w:val="28"/>
                              <w:szCs w:val="28"/>
                              <w:lang w:eastAsia="zh"/>
                            </w:rPr>
                            <w:fldChar w:fldCharType="separate"/>
                          </w:r>
                          <w:r>
                            <w:rPr>
                              <w:rFonts w:hint="eastAsia"/>
                              <w:sz w:val="28"/>
                              <w:szCs w:val="28"/>
                              <w:lang w:eastAsia="zh"/>
                            </w:rPr>
                            <w:t>1</w:t>
                          </w:r>
                          <w:r>
                            <w:rPr>
                              <w:rFonts w:hint="eastAsia"/>
                              <w:sz w:val="28"/>
                              <w:szCs w:val="28"/>
                              <w:lang w:eastAsia="zh"/>
                            </w:rPr>
                            <w:fldChar w:fldCharType="end"/>
                          </w:r>
                          <w:r>
                            <w:rPr>
                              <w:rFonts w:hint="eastAsia"/>
                              <w:sz w:val="28"/>
                              <w:szCs w:val="28"/>
                              <w:lang w:eastAsia="zh"/>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30.75pt;height:144pt;width:144pt;mso-position-horizontal:outside;mso-position-horizontal-relative:margin;mso-wrap-style:none;z-index:251659264;mso-width-relative:page;mso-height-relative:page;" filled="f" stroked="f" coordsize="21600,21600" o:gfxdata="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19PeNUAAAAIAQAADwAAAAAA&#10;AAABACAAAAAiAAAAZHJzL2Rvd25yZXYueG1sUEsBAhQAFAAAAAgAh07iQOv9V4HdAQAAvgMAAA4A&#10;AAAAAAAAAQAgAAAAJAEAAGRycy9lMm9Eb2MueG1sUEsFBgAAAAAGAAYAWQEAAHMFAAAAAA==&#10;">
              <v:fill on="f" focussize="0,0"/>
              <v:stroke on="f"/>
              <v:imagedata o:title=""/>
              <o:lock v:ext="edit" aspectratio="f"/>
              <v:textbox inset="0mm,0mm,0mm,0mm" style="mso-fit-shape-to-text:t;">
                <w:txbxContent>
                  <w:p w14:paraId="229966FE">
                    <w:pPr>
                      <w:pStyle w:val="5"/>
                    </w:pPr>
                    <w:r>
                      <w:rPr>
                        <w:rFonts w:hint="eastAsia"/>
                        <w:sz w:val="28"/>
                        <w:szCs w:val="28"/>
                        <w:lang w:eastAsia="zh"/>
                      </w:rPr>
                      <w:t xml:space="preserve">— </w:t>
                    </w:r>
                    <w:r>
                      <w:rPr>
                        <w:rFonts w:hint="eastAsia"/>
                        <w:sz w:val="28"/>
                        <w:szCs w:val="28"/>
                        <w:lang w:eastAsia="zh"/>
                      </w:rPr>
                      <w:fldChar w:fldCharType="begin"/>
                    </w:r>
                    <w:r>
                      <w:rPr>
                        <w:rFonts w:hint="eastAsia"/>
                        <w:sz w:val="28"/>
                        <w:szCs w:val="28"/>
                        <w:lang w:eastAsia="zh"/>
                      </w:rPr>
                      <w:instrText xml:space="preserve"> PAGE  \* MERGEFORMAT </w:instrText>
                    </w:r>
                    <w:r>
                      <w:rPr>
                        <w:rFonts w:hint="eastAsia"/>
                        <w:sz w:val="28"/>
                        <w:szCs w:val="28"/>
                        <w:lang w:eastAsia="zh"/>
                      </w:rPr>
                      <w:fldChar w:fldCharType="separate"/>
                    </w:r>
                    <w:r>
                      <w:rPr>
                        <w:rFonts w:hint="eastAsia"/>
                        <w:sz w:val="28"/>
                        <w:szCs w:val="28"/>
                        <w:lang w:eastAsia="zh"/>
                      </w:rPr>
                      <w:t>1</w:t>
                    </w:r>
                    <w:r>
                      <w:rPr>
                        <w:rFonts w:hint="eastAsia"/>
                        <w:sz w:val="28"/>
                        <w:szCs w:val="28"/>
                        <w:lang w:eastAsia="zh"/>
                      </w:rPr>
                      <w:fldChar w:fldCharType="end"/>
                    </w:r>
                    <w:r>
                      <w:rPr>
                        <w:rFonts w:hint="eastAsia"/>
                        <w:sz w:val="28"/>
                        <w:szCs w:val="28"/>
                        <w:lang w:eastAsia="zh"/>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YzFhMGNiNWM4NTJmYjVlYjgyODg0ZDA5YWE1YTMifQ=="/>
  </w:docVars>
  <w:rsids>
    <w:rsidRoot w:val="71B54708"/>
    <w:rsid w:val="71B547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snapToGrid w:val="0"/>
      <w:kern w:val="32"/>
      <w:sz w:val="32"/>
      <w:szCs w:val="32"/>
      <w:lang w:val="en-US" w:eastAsia="zh-CN" w:bidi="ar-SA"/>
    </w:rPr>
  </w:style>
  <w:style w:type="paragraph" w:styleId="2">
    <w:name w:val="heading 2"/>
    <w:next w:val="1"/>
    <w:unhideWhenUsed/>
    <w:qFormat/>
    <w:uiPriority w:val="9"/>
    <w:pPr>
      <w:widowControl w:val="0"/>
      <w:jc w:val="both"/>
      <w:outlineLvl w:val="1"/>
    </w:pPr>
    <w:rPr>
      <w:rFonts w:ascii="Calibri" w:hAnsi="Calibri" w:eastAsia="宋体" w:cs="Times New Roman"/>
      <w:b/>
      <w:bCs/>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pPr>
      <w:spacing w:after="140" w:line="276" w:lineRule="auto"/>
    </w:pPr>
  </w:style>
  <w:style w:type="paragraph" w:customStyle="1" w:styleId="4">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正文文"/>
    <w:basedOn w:val="1"/>
    <w:qFormat/>
    <w:uiPriority w:val="0"/>
    <w:pPr>
      <w:wordWrap w:val="0"/>
      <w:topLinePunct/>
      <w:ind w:right="-6" w:rightChars="-2" w:firstLine="560"/>
    </w:pPr>
    <w:rPr>
      <w:rFonts w:ascii="仿宋" w:hAnsi="仿宋" w:eastAsia="仿宋"/>
      <w:szCs w:val="28"/>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2026-08-13T07:06:00Z</dcterms:created>
  <dc:creator>孙彤</dc:creator>
  <cp:lastModifiedBy>孙彤</cp:lastModifiedBy>
  <dcterms:modified xsi:type="dcterms:W3CDTF">2026-08-13T07:07:39Z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B520DC42D65E49448B6E37C87A3CB623_11</vt:lpwstr>
  </property>
</Properties>
</file>