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80" w:lineRule="exact"/>
        <w:ind w:firstLine="0" w:firstLineChars="0"/>
        <w:jc w:val="both"/>
        <w:rPr>
          <w:rFonts w:hint="default" w:ascii="黑体" w:hAnsi="黑体" w:eastAsia="黑体" w:cs="黑体"/>
          <w:sz w:val="32"/>
          <w:szCs w:val="32"/>
          <w:lang w:val="en-US" w:eastAsia="zh-CN"/>
        </w:rPr>
      </w:pPr>
      <w:bookmarkStart w:id="0" w:name="OLE_LINK5"/>
      <w:bookmarkStart w:id="3" w:name="_GoBack"/>
      <w:bookmarkEnd w:id="3"/>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spacing w:after="0" w:line="680" w:lineRule="exact"/>
        <w:ind w:firstLine="0" w:firstLineChars="0"/>
        <w:jc w:val="both"/>
        <w:rPr>
          <w:rFonts w:hint="eastAsia" w:ascii="黑体" w:hAnsi="黑体" w:eastAsia="黑体" w:cs="黑体"/>
          <w:sz w:val="32"/>
          <w:szCs w:val="32"/>
          <w:lang w:eastAsia="zh-CN"/>
        </w:rPr>
      </w:pPr>
    </w:p>
    <w:p>
      <w:pPr>
        <w:spacing w:after="0" w:line="680" w:lineRule="exact"/>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北京市</w:t>
      </w:r>
      <w:r>
        <w:rPr>
          <w:rFonts w:hint="eastAsia" w:ascii="Times New Roman" w:hAnsi="Times New Roman" w:eastAsia="方正小标宋简体" w:cs="Times New Roman"/>
          <w:sz w:val="44"/>
          <w:szCs w:val="44"/>
        </w:rPr>
        <w:t>加快建设</w:t>
      </w:r>
      <w:r>
        <w:rPr>
          <w:rFonts w:ascii="Times New Roman" w:hAnsi="Times New Roman" w:eastAsia="方正小标宋简体" w:cs="Times New Roman"/>
          <w:sz w:val="44"/>
          <w:szCs w:val="44"/>
        </w:rPr>
        <w:t>零碳园区</w:t>
      </w:r>
      <w:r>
        <w:rPr>
          <w:rFonts w:hint="eastAsia" w:ascii="Times New Roman" w:hAnsi="Times New Roman" w:eastAsia="方正小标宋简体" w:cs="Times New Roman"/>
          <w:sz w:val="44"/>
          <w:szCs w:val="44"/>
        </w:rPr>
        <w:t>实施</w:t>
      </w:r>
      <w:r>
        <w:rPr>
          <w:rFonts w:ascii="Times New Roman" w:hAnsi="Times New Roman" w:eastAsia="方正小标宋简体" w:cs="Times New Roman"/>
          <w:sz w:val="44"/>
          <w:szCs w:val="44"/>
        </w:rPr>
        <w:t>方案</w:t>
      </w:r>
      <w:bookmarkEnd w:id="0"/>
    </w:p>
    <w:p>
      <w:pPr>
        <w:spacing w:after="0"/>
        <w:ind w:firstLine="0" w:firstLineChars="0"/>
        <w:jc w:val="center"/>
        <w:rPr>
          <w:rFonts w:ascii="Times New Roman" w:hAnsi="Times New Roman" w:eastAsia="楷体_GB2312" w:cs="Times New Roman"/>
        </w:rPr>
      </w:pPr>
      <w:r>
        <w:rPr>
          <w:rFonts w:ascii="Times New Roman" w:hAnsi="Times New Roman" w:eastAsia="楷体_GB2312" w:cs="Times New Roman"/>
        </w:rPr>
        <w:t>（征求意见稿）</w:t>
      </w:r>
    </w:p>
    <w:p>
      <w:pPr>
        <w:spacing w:after="0"/>
        <w:ind w:firstLine="0" w:firstLineChars="0"/>
        <w:jc w:val="center"/>
        <w:rPr>
          <w:rFonts w:ascii="Times New Roman" w:hAnsi="Times New Roman" w:eastAsia="楷体_GB2312" w:cs="Times New Roman"/>
        </w:rPr>
      </w:pPr>
    </w:p>
    <w:p>
      <w:pPr>
        <w:spacing w:after="0"/>
        <w:ind w:firstLine="640"/>
        <w:rPr>
          <w:rFonts w:ascii="Times New Roman" w:hAnsi="Times New Roman" w:eastAsia="黑体" w:cs="Times New Roman"/>
          <w:szCs w:val="30"/>
        </w:rPr>
      </w:pPr>
      <w:bookmarkStart w:id="1" w:name="OLE_LINK2"/>
      <w:r>
        <w:rPr>
          <w:rFonts w:ascii="Times New Roman" w:hAnsi="Times New Roman" w:cs="Times New Roman"/>
        </w:rPr>
        <w:t>为贯彻落实党中央、国务院决策部署和市委、市政府工作要求，</w:t>
      </w:r>
      <w:r>
        <w:rPr>
          <w:rFonts w:hint="eastAsia" w:ascii="Times New Roman" w:hAnsi="Times New Roman" w:cs="Times New Roman"/>
        </w:rPr>
        <w:t>结合本市产业基础、能源禀赋、科技资源等实际</w:t>
      </w:r>
      <w:r>
        <w:rPr>
          <w:rFonts w:ascii="Times New Roman" w:hAnsi="Times New Roman" w:cs="Times New Roman"/>
          <w:szCs w:val="28"/>
        </w:rPr>
        <w:t>，</w:t>
      </w:r>
      <w:r>
        <w:rPr>
          <w:rFonts w:hint="eastAsia" w:ascii="Times New Roman" w:hAnsi="Times New Roman" w:cs="Times New Roman"/>
          <w:szCs w:val="28"/>
        </w:rPr>
        <w:t>支持有条件</w:t>
      </w:r>
      <w:r>
        <w:rPr>
          <w:rFonts w:ascii="Times New Roman" w:hAnsi="Times New Roman" w:cs="Times New Roman"/>
          <w:szCs w:val="28"/>
        </w:rPr>
        <w:t>的</w:t>
      </w:r>
      <w:r>
        <w:rPr>
          <w:rFonts w:hint="eastAsia" w:ascii="Times New Roman" w:hAnsi="Times New Roman" w:cs="Times New Roman"/>
          <w:szCs w:val="28"/>
        </w:rPr>
        <w:t>园区加快应用先进绿色低碳技术、实施节能降碳循环化改造、完善运营管理模式、创</w:t>
      </w:r>
      <w:r>
        <w:rPr>
          <w:rFonts w:hint="eastAsia" w:ascii="仿宋_GB2312" w:hAnsi="仿宋_GB2312" w:eastAsia="仿宋_GB2312" w:cs="仿宋_GB2312"/>
          <w:szCs w:val="28"/>
        </w:rPr>
        <w:t>新认证评价机制，</w:t>
      </w:r>
      <w:r>
        <w:rPr>
          <w:rFonts w:hint="eastAsia" w:ascii="仿宋_GB2312" w:hAnsi="仿宋_GB2312" w:eastAsia="仿宋_GB2312" w:cs="仿宋_GB2312"/>
        </w:rPr>
        <w:t>到2030年，形成建设零碳园区的技术体系、运营模式、政策标准和服务体系，力争建成</w:t>
      </w:r>
      <w:r>
        <w:rPr>
          <w:rFonts w:hint="eastAsia" w:cs="仿宋_GB2312"/>
          <w:lang w:val="en-US" w:eastAsia="zh-CN"/>
        </w:rPr>
        <w:t>2</w:t>
      </w:r>
      <w:r>
        <w:rPr>
          <w:rFonts w:hint="eastAsia" w:ascii="仿宋_GB2312" w:hAnsi="仿宋_GB2312" w:eastAsia="仿宋_GB2312" w:cs="仿宋_GB2312"/>
        </w:rPr>
        <w:t>0个左右</w:t>
      </w:r>
      <w:r>
        <w:rPr>
          <w:rFonts w:ascii="Times New Roman" w:hAnsi="Times New Roman" w:cs="Times New Roman"/>
        </w:rPr>
        <w:t>市级零碳园区。</w:t>
      </w:r>
    </w:p>
    <w:bookmarkEnd w:id="1"/>
    <w:p>
      <w:pPr>
        <w:spacing w:after="0"/>
        <w:ind w:firstLine="640"/>
        <w:outlineLvl w:val="0"/>
        <w:rPr>
          <w:rFonts w:ascii="Times New Roman" w:hAnsi="Times New Roman" w:cs="Times New Roman"/>
        </w:rPr>
      </w:pPr>
      <w:r>
        <w:rPr>
          <w:rFonts w:hint="eastAsia" w:ascii="Times New Roman" w:hAnsi="Times New Roman" w:eastAsia="黑体" w:cs="Times New Roman"/>
          <w:szCs w:val="30"/>
        </w:rPr>
        <w:t>一、建设内容</w:t>
      </w:r>
    </w:p>
    <w:p>
      <w:pPr>
        <w:spacing w:after="0"/>
        <w:ind w:firstLine="640"/>
        <w:outlineLvl w:val="1"/>
        <w:rPr>
          <w:rFonts w:ascii="Times New Roman" w:hAnsi="Times New Roman" w:cs="Times New Roman"/>
          <w:highlight w:val="yellow"/>
        </w:rPr>
      </w:pPr>
      <w:r>
        <w:rPr>
          <w:rFonts w:ascii="Times New Roman" w:hAnsi="Times New Roman" w:eastAsia="楷体_GB2312" w:cs="Times New Roman"/>
        </w:rPr>
        <w:t>（一）</w:t>
      </w:r>
      <w:r>
        <w:rPr>
          <w:rFonts w:hint="eastAsia" w:ascii="Times New Roman" w:hAnsi="Times New Roman" w:eastAsia="楷体_GB2312" w:cs="Times New Roman"/>
        </w:rPr>
        <w:t>构建零碳</w:t>
      </w:r>
      <w:r>
        <w:rPr>
          <w:rFonts w:ascii="Times New Roman" w:hAnsi="Times New Roman" w:eastAsia="楷体_GB2312" w:cs="Times New Roman"/>
        </w:rPr>
        <w:t>能源系统。</w:t>
      </w:r>
      <w:r>
        <w:rPr>
          <w:rFonts w:hint="eastAsia" w:ascii="Times New Roman" w:hAnsi="Times New Roman" w:cs="Times New Roman"/>
        </w:rPr>
        <w:t>积极推动园区及周边可再生能源的开发利用，因地制宜发展绿电直连、绿电聚合、增量配电网、智能微电网、</w:t>
      </w:r>
      <w:r>
        <w:rPr>
          <w:rFonts w:hint="eastAsia" w:ascii="Times New Roman" w:hAnsi="Times New Roman" w:cs="Times New Roman"/>
          <w:lang w:eastAsia="zh-CN"/>
        </w:rPr>
        <w:t>先进储能等</w:t>
      </w:r>
      <w:r>
        <w:rPr>
          <w:rFonts w:hint="eastAsia" w:ascii="Times New Roman" w:hAnsi="Times New Roman" w:cs="Times New Roman"/>
        </w:rPr>
        <w:t>新型绿色</w:t>
      </w:r>
      <w:r>
        <w:rPr>
          <w:rFonts w:hint="eastAsia" w:ascii="Times New Roman" w:hAnsi="Times New Roman" w:cs="Times New Roman"/>
          <w:lang w:eastAsia="zh-CN"/>
        </w:rPr>
        <w:t>电力</w:t>
      </w:r>
      <w:r>
        <w:rPr>
          <w:rFonts w:hint="eastAsia" w:ascii="Times New Roman" w:hAnsi="Times New Roman" w:cs="Times New Roman"/>
        </w:rPr>
        <w:t>供应模式，</w:t>
      </w:r>
      <w:r>
        <w:rPr>
          <w:rFonts w:hint="eastAsia" w:ascii="Times New Roman" w:hAnsi="Times New Roman" w:cs="Times New Roman"/>
          <w:lang w:eastAsia="zh-CN"/>
        </w:rPr>
        <w:t>积极推动虚拟电厂建设，</w:t>
      </w:r>
      <w:r>
        <w:rPr>
          <w:rFonts w:hint="eastAsia" w:ascii="Times New Roman" w:hAnsi="Times New Roman" w:cs="Times New Roman"/>
        </w:rPr>
        <w:t>鼓励园区企业签订多年期小时级绿电采购协议，探索建立小时级绿电供需匹配机制与溯源核算机制，有序推动多用户绿电直连。</w:t>
      </w:r>
      <w:r>
        <w:rPr>
          <w:rFonts w:ascii="Times New Roman" w:hAnsi="Times New Roman" w:cs="Times New Roman"/>
        </w:rPr>
        <w:t>推进源网荷储一体化，</w:t>
      </w:r>
      <w:r>
        <w:rPr>
          <w:rFonts w:hint="eastAsia" w:ascii="Times New Roman" w:hAnsi="Times New Roman" w:cs="Times New Roman"/>
        </w:rPr>
        <w:t>探索园区级储能调峰解决方案。</w:t>
      </w:r>
      <w:r>
        <w:rPr>
          <w:rFonts w:ascii="Times New Roman" w:hAnsi="Times New Roman" w:cs="Times New Roman"/>
        </w:rPr>
        <w:t>因地制宜利用生物质能、浅层/中深层地热、再生水（污水）源热能、太阳能及工业余热余压等资源</w:t>
      </w:r>
      <w:r>
        <w:rPr>
          <w:rFonts w:hint="eastAsia" w:ascii="Times New Roman" w:hAnsi="Times New Roman" w:cs="Times New Roman"/>
        </w:rPr>
        <w:t>，推广先进低碳供冷技术，推动供能系统低碳零碳改造升级</w:t>
      </w:r>
      <w:r>
        <w:rPr>
          <w:rFonts w:ascii="Times New Roman" w:hAnsi="Times New Roman" w:cs="Times New Roman"/>
        </w:rPr>
        <w:t>。</w:t>
      </w:r>
    </w:p>
    <w:p>
      <w:pPr>
        <w:spacing w:after="0"/>
        <w:ind w:firstLine="640"/>
        <w:outlineLvl w:val="1"/>
        <w:rPr>
          <w:rFonts w:hint="eastAsia" w:ascii="Times New Roman" w:hAnsi="Times New Roman" w:eastAsia="仿宋_GB2312" w:cs="Times New Roman"/>
          <w:lang w:eastAsia="zh-CN"/>
        </w:rPr>
      </w:pPr>
      <w:r>
        <w:rPr>
          <w:rFonts w:ascii="Times New Roman" w:hAnsi="Times New Roman" w:eastAsia="楷体_GB2312" w:cs="Times New Roman"/>
        </w:rPr>
        <w:t>（</w:t>
      </w:r>
      <w:r>
        <w:rPr>
          <w:rFonts w:hint="eastAsia" w:ascii="Times New Roman" w:hAnsi="Times New Roman" w:eastAsia="楷体_GB2312" w:cs="Times New Roman"/>
        </w:rPr>
        <w:t>二</w:t>
      </w:r>
      <w:r>
        <w:rPr>
          <w:rFonts w:ascii="Times New Roman" w:hAnsi="Times New Roman" w:eastAsia="楷体_GB2312" w:cs="Times New Roman"/>
        </w:rPr>
        <w:t>）</w:t>
      </w:r>
      <w:r>
        <w:rPr>
          <w:rFonts w:hint="eastAsia" w:ascii="Times New Roman" w:hAnsi="Times New Roman" w:eastAsia="楷体_GB2312" w:cs="Times New Roman"/>
        </w:rPr>
        <w:t>培育绿色低碳</w:t>
      </w:r>
      <w:r>
        <w:rPr>
          <w:rFonts w:ascii="Times New Roman" w:hAnsi="Times New Roman" w:eastAsia="楷体_GB2312" w:cs="Times New Roman"/>
        </w:rPr>
        <w:t>产业。</w:t>
      </w:r>
      <w:r>
        <w:rPr>
          <w:rFonts w:hint="eastAsia" w:ascii="Times New Roman" w:hAnsi="Times New Roman" w:cs="Times New Roman"/>
        </w:rPr>
        <w:t>鼓励园区布局发展战略性基础性绿色产业</w:t>
      </w:r>
      <w:r>
        <w:rPr>
          <w:rFonts w:ascii="Times New Roman" w:hAnsi="Times New Roman" w:cs="Times New Roman"/>
        </w:rPr>
        <w:t>，</w:t>
      </w:r>
      <w:r>
        <w:rPr>
          <w:rFonts w:hint="eastAsia" w:ascii="Times New Roman" w:hAnsi="Times New Roman" w:cs="Times New Roman"/>
        </w:rPr>
        <w:t>推进绿色产业招商，加强延链补链强链发展，形成“以绿制绿”产业链体系。</w:t>
      </w:r>
      <w:r>
        <w:rPr>
          <w:rFonts w:ascii="Times New Roman" w:hAnsi="Times New Roman" w:cs="Times New Roman"/>
        </w:rPr>
        <w:t>推动园区企业开展绿色低碳改造，打造工艺低碳、用能</w:t>
      </w:r>
      <w:r>
        <w:rPr>
          <w:rFonts w:hint="eastAsia" w:ascii="Times New Roman" w:hAnsi="Times New Roman" w:cs="Times New Roman"/>
          <w:lang w:eastAsia="zh-CN"/>
        </w:rPr>
        <w:t>零碳</w:t>
      </w:r>
      <w:r>
        <w:rPr>
          <w:rFonts w:ascii="Times New Roman" w:hAnsi="Times New Roman" w:cs="Times New Roman"/>
        </w:rPr>
        <w:t>、管理高效的零碳工厂。引导</w:t>
      </w:r>
      <w:r>
        <w:rPr>
          <w:rFonts w:hint="eastAsia" w:ascii="Times New Roman" w:hAnsi="Times New Roman" w:cs="Times New Roman"/>
        </w:rPr>
        <w:t>园区</w:t>
      </w:r>
      <w:r>
        <w:rPr>
          <w:rFonts w:ascii="Times New Roman" w:hAnsi="Times New Roman" w:cs="Times New Roman"/>
        </w:rPr>
        <w:t>企业</w:t>
      </w:r>
      <w:r>
        <w:rPr>
          <w:rFonts w:hint="eastAsia" w:ascii="Times New Roman" w:hAnsi="Times New Roman" w:cs="Times New Roman"/>
          <w:lang w:eastAsia="zh-CN"/>
        </w:rPr>
        <w:t>应用</w:t>
      </w:r>
      <w:r>
        <w:rPr>
          <w:rFonts w:ascii="Times New Roman" w:hAnsi="Times New Roman" w:cs="Times New Roman"/>
        </w:rPr>
        <w:t>绿色设计理念，开发生产节能环保低碳的绿色产品</w:t>
      </w:r>
      <w:r>
        <w:rPr>
          <w:rFonts w:hint="eastAsia" w:ascii="Times New Roman" w:hAnsi="Times New Roman" w:cs="Times New Roman"/>
        </w:rPr>
        <w:t>，</w:t>
      </w:r>
      <w:r>
        <w:rPr>
          <w:rFonts w:hint="eastAsia" w:ascii="Times New Roman" w:hAnsi="Times New Roman" w:cs="Times New Roman"/>
          <w:lang w:eastAsia="zh-CN"/>
        </w:rPr>
        <w:t>优先使用可再生循环利用物资，</w:t>
      </w:r>
      <w:r>
        <w:rPr>
          <w:rFonts w:hint="eastAsia" w:ascii="Times New Roman" w:hAnsi="Times New Roman" w:cs="Times New Roman"/>
        </w:rPr>
        <w:t>普及绿色办公、低碳运营模式，</w:t>
      </w:r>
      <w:r>
        <w:rPr>
          <w:rFonts w:hint="eastAsia" w:ascii="Times New Roman" w:hAnsi="Times New Roman" w:cs="Times New Roman"/>
          <w:lang w:eastAsia="zh-CN"/>
        </w:rPr>
        <w:t>打造绿色供应链</w:t>
      </w:r>
      <w:r>
        <w:rPr>
          <w:rFonts w:hint="eastAsia" w:ascii="Times New Roman" w:hAnsi="Times New Roman" w:cs="Times New Roman"/>
        </w:rPr>
        <w:t>。</w:t>
      </w:r>
    </w:p>
    <w:p>
      <w:pPr>
        <w:spacing w:after="0"/>
        <w:ind w:firstLine="640"/>
        <w:outlineLvl w:val="1"/>
        <w:rPr>
          <w:rFonts w:ascii="Times New Roman" w:hAnsi="Times New Roman" w:cs="Times New Roman"/>
        </w:rPr>
      </w:pPr>
      <w:r>
        <w:rPr>
          <w:rFonts w:ascii="Times New Roman" w:hAnsi="Times New Roman" w:eastAsia="楷体_GB2312" w:cs="Times New Roman"/>
        </w:rPr>
        <w:t>（</w:t>
      </w:r>
      <w:r>
        <w:rPr>
          <w:rFonts w:hint="eastAsia" w:ascii="Times New Roman" w:hAnsi="Times New Roman" w:eastAsia="楷体_GB2312" w:cs="Times New Roman"/>
        </w:rPr>
        <w:t>三</w:t>
      </w:r>
      <w:r>
        <w:rPr>
          <w:rFonts w:ascii="Times New Roman" w:hAnsi="Times New Roman" w:eastAsia="楷体_GB2312" w:cs="Times New Roman"/>
        </w:rPr>
        <w:t>）</w:t>
      </w:r>
      <w:r>
        <w:rPr>
          <w:rFonts w:hint="eastAsia" w:ascii="Times New Roman" w:hAnsi="Times New Roman" w:eastAsia="楷体_GB2312" w:cs="Times New Roman"/>
        </w:rPr>
        <w:t>完善绿色低碳</w:t>
      </w:r>
      <w:r>
        <w:rPr>
          <w:rFonts w:ascii="Times New Roman" w:hAnsi="Times New Roman" w:eastAsia="楷体_GB2312" w:cs="Times New Roman"/>
        </w:rPr>
        <w:t>基础设施。</w:t>
      </w:r>
      <w:r>
        <w:rPr>
          <w:rFonts w:hint="eastAsia" w:ascii="Times New Roman" w:hAnsi="Times New Roman" w:cs="Times New Roman"/>
        </w:rPr>
        <w:t>推进园区</w:t>
      </w:r>
      <w:r>
        <w:rPr>
          <w:rFonts w:ascii="Times New Roman" w:hAnsi="Times New Roman" w:cs="Times New Roman"/>
        </w:rPr>
        <w:t>既有建筑节能低碳改造，支持建筑光伏一体</w:t>
      </w:r>
      <w:r>
        <w:rPr>
          <w:rFonts w:hint="eastAsia" w:ascii="仿宋_GB2312" w:hAnsi="仿宋_GB2312" w:eastAsia="仿宋_GB2312" w:cs="仿宋_GB2312"/>
        </w:rPr>
        <w:t>化（BIPV）、光储直柔等先进技术应用，鼓励新建建筑对标超低能耗建筑、近零能耗建筑标准建造。加快园区交通基础设施绿色化提升改造，优化园区充换电设施布局，积极推广车网互动（V2G）技术应用，实现园区运输工具新能源化替代。升级改造热力、燃</w:t>
      </w:r>
      <w:r>
        <w:rPr>
          <w:rFonts w:ascii="Times New Roman" w:hAnsi="Times New Roman" w:cs="Times New Roman"/>
        </w:rPr>
        <w:t>气、污水管网</w:t>
      </w:r>
      <w:r>
        <w:rPr>
          <w:rFonts w:hint="eastAsia" w:ascii="Times New Roman" w:hAnsi="Times New Roman" w:cs="Times New Roman"/>
        </w:rPr>
        <w:t>等基础设施</w:t>
      </w:r>
      <w:r>
        <w:rPr>
          <w:rFonts w:ascii="Times New Roman" w:hAnsi="Times New Roman" w:cs="Times New Roman"/>
        </w:rPr>
        <w:t>，</w:t>
      </w:r>
      <w:r>
        <w:rPr>
          <w:rFonts w:hint="eastAsia" w:ascii="Times New Roman" w:hAnsi="Times New Roman" w:cs="Times New Roman"/>
        </w:rPr>
        <w:t>完善</w:t>
      </w:r>
      <w:r>
        <w:rPr>
          <w:rFonts w:ascii="Times New Roman" w:hAnsi="Times New Roman" w:cs="Times New Roman"/>
        </w:rPr>
        <w:t>在线监测与智能调节系统。</w:t>
      </w:r>
    </w:p>
    <w:p>
      <w:pPr>
        <w:spacing w:after="0"/>
        <w:ind w:firstLine="640"/>
        <w:outlineLvl w:val="1"/>
        <w:rPr>
          <w:rFonts w:ascii="Times New Roman" w:hAnsi="Times New Roman" w:cs="Times New Roman"/>
          <w:highlight w:val="yellow"/>
        </w:rPr>
      </w:pPr>
      <w:r>
        <w:rPr>
          <w:rFonts w:ascii="Times New Roman" w:hAnsi="Times New Roman" w:eastAsia="楷体_GB2312" w:cs="Times New Roman"/>
        </w:rPr>
        <w:t>（</w:t>
      </w:r>
      <w:r>
        <w:rPr>
          <w:rFonts w:hint="eastAsia" w:ascii="Times New Roman" w:hAnsi="Times New Roman" w:eastAsia="楷体_GB2312" w:cs="Times New Roman"/>
        </w:rPr>
        <w:t>四</w:t>
      </w:r>
      <w:r>
        <w:rPr>
          <w:rFonts w:ascii="Times New Roman" w:hAnsi="Times New Roman" w:eastAsia="楷体_GB2312" w:cs="Times New Roman"/>
        </w:rPr>
        <w:t>）</w:t>
      </w:r>
      <w:r>
        <w:rPr>
          <w:rFonts w:hint="eastAsia" w:ascii="Times New Roman" w:hAnsi="Times New Roman" w:eastAsia="楷体_GB2312" w:cs="Times New Roman"/>
        </w:rPr>
        <w:t>推动</w:t>
      </w:r>
      <w:r>
        <w:rPr>
          <w:rFonts w:ascii="Times New Roman" w:hAnsi="Times New Roman" w:eastAsia="楷体_GB2312" w:cs="Times New Roman"/>
        </w:rPr>
        <w:t>资源循环</w:t>
      </w:r>
      <w:r>
        <w:rPr>
          <w:rFonts w:hint="eastAsia" w:ascii="Times New Roman" w:hAnsi="Times New Roman" w:eastAsia="楷体_GB2312" w:cs="Times New Roman"/>
        </w:rPr>
        <w:t>和利用</w:t>
      </w:r>
      <w:r>
        <w:rPr>
          <w:rFonts w:ascii="Times New Roman" w:hAnsi="Times New Roman" w:eastAsia="楷体_GB2312" w:cs="Times New Roman"/>
        </w:rPr>
        <w:t>。</w:t>
      </w:r>
      <w:r>
        <w:rPr>
          <w:rFonts w:hint="eastAsia" w:ascii="Times New Roman" w:hAnsi="Times New Roman" w:cs="Times New Roman"/>
        </w:rPr>
        <w:t>健全园区循环利用网络，</w:t>
      </w:r>
      <w:r>
        <w:rPr>
          <w:rFonts w:ascii="Times New Roman" w:hAnsi="Times New Roman" w:cs="Times New Roman"/>
        </w:rPr>
        <w:t>统筹</w:t>
      </w:r>
      <w:r>
        <w:rPr>
          <w:rFonts w:hint="eastAsia" w:ascii="Times New Roman" w:hAnsi="Times New Roman" w:cs="Times New Roman"/>
        </w:rPr>
        <w:t>推进</w:t>
      </w:r>
      <w:r>
        <w:rPr>
          <w:rFonts w:ascii="Times New Roman" w:hAnsi="Times New Roman" w:cs="Times New Roman"/>
        </w:rPr>
        <w:t>余热、余压、蒸汽等</w:t>
      </w:r>
      <w:r>
        <w:rPr>
          <w:rFonts w:hint="eastAsia" w:ascii="Times New Roman" w:hAnsi="Times New Roman" w:cs="Times New Roman"/>
        </w:rPr>
        <w:t>能</w:t>
      </w:r>
      <w:r>
        <w:rPr>
          <w:rFonts w:ascii="Times New Roman" w:hAnsi="Times New Roman" w:cs="Times New Roman"/>
        </w:rPr>
        <w:t>源梯级利用</w:t>
      </w:r>
      <w:r>
        <w:rPr>
          <w:rFonts w:hint="eastAsia" w:ascii="Times New Roman" w:hAnsi="Times New Roman" w:cs="Times New Roman"/>
        </w:rPr>
        <w:t>，强化废水废气废渣资源化利用，提升园区资源产出率和循环利用率。</w:t>
      </w:r>
      <w:r>
        <w:rPr>
          <w:rFonts w:hint="eastAsia" w:ascii="Times New Roman" w:hAnsi="Times New Roman" w:cs="Times New Roman"/>
          <w:lang w:eastAsia="zh-CN"/>
        </w:rPr>
        <w:t>建设</w:t>
      </w:r>
      <w:r>
        <w:rPr>
          <w:rFonts w:ascii="Times New Roman" w:hAnsi="Times New Roman" w:cs="Times New Roman"/>
        </w:rPr>
        <w:t>碳捕集利用与</w:t>
      </w:r>
      <w:r>
        <w:rPr>
          <w:rFonts w:hint="eastAsia" w:ascii="仿宋_GB2312" w:hAnsi="仿宋_GB2312" w:eastAsia="仿宋_GB2312" w:cs="仿宋_GB2312"/>
        </w:rPr>
        <w:t>封存（CCUS）示范项目</w:t>
      </w:r>
      <w:r>
        <w:rPr>
          <w:rFonts w:ascii="Times New Roman" w:hAnsi="Times New Roman" w:cs="Times New Roman"/>
        </w:rPr>
        <w:t>，推动捕集二氧化碳在工业消纳、富碳农业等场景资源化利用</w:t>
      </w:r>
      <w:r>
        <w:rPr>
          <w:rFonts w:hint="eastAsia" w:ascii="Times New Roman" w:hAnsi="Times New Roman" w:cs="Times New Roman"/>
        </w:rPr>
        <w:t>，拓展固碳负碳多元化利用渠道。</w:t>
      </w:r>
    </w:p>
    <w:p>
      <w:pPr>
        <w:widowControl/>
        <w:spacing w:after="0"/>
        <w:ind w:firstLine="0"/>
        <w:jc w:val="left"/>
        <w:outlineLvl w:val="9"/>
        <w:rPr>
          <w:rFonts w:ascii="Times New Roman" w:hAnsi="Times New Roman" w:cs="Times New Roman"/>
        </w:rPr>
      </w:pPr>
      <w:r>
        <w:rPr>
          <w:rFonts w:hint="eastAsia" w:ascii="Times New Roman" w:hAnsi="Times New Roman" w:eastAsia="楷体_GB2312" w:cs="Times New Roman"/>
        </w:rPr>
        <w:t>（五）提升数字化能碳管理水平。</w:t>
      </w:r>
      <w:r>
        <w:rPr>
          <w:rFonts w:hint="eastAsia" w:ascii="Times New Roman" w:hAnsi="Times New Roman" w:cs="Times New Roman"/>
        </w:rPr>
        <w:t>支持园区充分利用人工智能、物联网等先进技术，</w:t>
      </w:r>
      <w:r>
        <w:rPr>
          <w:rFonts w:hint="eastAsia" w:ascii="Times New Roman" w:hAnsi="Times New Roman" w:cs="Times New Roman"/>
          <w:lang w:eastAsia="zh-CN"/>
        </w:rPr>
        <w:t>归集</w:t>
      </w:r>
      <w:r>
        <w:rPr>
          <w:rFonts w:hint="eastAsia" w:ascii="Times New Roman" w:hAnsi="Times New Roman" w:cs="Times New Roman"/>
        </w:rPr>
        <w:t>园区能源、碳排放、产业、基础设施等各类数据资源，打造数字化能碳管理平台，实现能碳数据“可测、可视、可管、可控”。支持</w:t>
      </w:r>
      <w:r>
        <w:rPr>
          <w:rFonts w:ascii="Times New Roman" w:hAnsi="Times New Roman" w:cs="Times New Roman"/>
        </w:rPr>
        <w:t>平台拓展绿电绿证溯源管理、产品碳足迹核算</w:t>
      </w:r>
      <w:r>
        <w:rPr>
          <w:rFonts w:hint="eastAsia" w:ascii="Times New Roman" w:hAnsi="Times New Roman" w:cs="Times New Roman"/>
        </w:rPr>
        <w:t>、绿色供应链管理</w:t>
      </w:r>
      <w:r>
        <w:rPr>
          <w:rFonts w:ascii="Times New Roman" w:hAnsi="Times New Roman" w:cs="Times New Roman"/>
        </w:rPr>
        <w:t>等功能，支撑园区</w:t>
      </w:r>
      <w:r>
        <w:rPr>
          <w:rFonts w:hint="eastAsia" w:ascii="Times New Roman" w:hAnsi="Times New Roman" w:cs="Times New Roman"/>
        </w:rPr>
        <w:t>绿电绿证交易、</w:t>
      </w:r>
      <w:r>
        <w:rPr>
          <w:rFonts w:ascii="Times New Roman" w:hAnsi="Times New Roman" w:cs="Times New Roman"/>
        </w:rPr>
        <w:t>碳资产开发运营</w:t>
      </w:r>
      <w:r>
        <w:rPr>
          <w:rFonts w:hint="eastAsia" w:ascii="Times New Roman" w:hAnsi="Times New Roman" w:cs="Times New Roman"/>
        </w:rPr>
        <w:t>和企业绿色低碳转型</w:t>
      </w:r>
      <w:r>
        <w:rPr>
          <w:rFonts w:ascii="Times New Roman" w:hAnsi="Times New Roman" w:cs="Times New Roman"/>
        </w:rPr>
        <w:t>。</w:t>
      </w:r>
    </w:p>
    <w:p>
      <w:pPr>
        <w:spacing w:after="0"/>
        <w:ind w:firstLine="640"/>
        <w:outlineLvl w:val="0"/>
        <w:rPr>
          <w:rFonts w:ascii="Times New Roman" w:hAnsi="Times New Roman" w:cs="Times New Roman"/>
        </w:rPr>
      </w:pPr>
      <w:r>
        <w:rPr>
          <w:rFonts w:hint="eastAsia" w:ascii="Times New Roman" w:hAnsi="Times New Roman" w:eastAsia="黑体" w:cs="Times New Roman"/>
          <w:szCs w:val="30"/>
        </w:rPr>
        <w:t>二、改革创新</w:t>
      </w:r>
    </w:p>
    <w:p>
      <w:pPr>
        <w:spacing w:after="0"/>
        <w:ind w:firstLine="640"/>
        <w:outlineLvl w:val="1"/>
        <w:rPr>
          <w:rFonts w:ascii="Times New Roman" w:hAnsi="Times New Roman" w:cs="Times New Roman"/>
        </w:rPr>
      </w:pPr>
      <w:r>
        <w:rPr>
          <w:rFonts w:hint="eastAsia" w:ascii="Times New Roman" w:hAnsi="Times New Roman" w:eastAsia="楷体_GB2312" w:cs="Times New Roman"/>
        </w:rPr>
        <w:t>（六）分级分类梯度培育</w:t>
      </w:r>
      <w:r>
        <w:rPr>
          <w:rFonts w:hint="eastAsia" w:ascii="Times New Roman" w:hAnsi="Times New Roman" w:cs="Times New Roman"/>
        </w:rPr>
        <w:t>。坚持分级推动，建立统一规范的评价指标体系，以单位能耗碳排放指标划分近零碳、零碳两类园区</w:t>
      </w:r>
      <w:r>
        <w:rPr>
          <w:rFonts w:ascii="Times New Roman" w:hAnsi="Times New Roman" w:cs="Times New Roman"/>
        </w:rPr>
        <w:t>。坚持分类施策，</w:t>
      </w:r>
      <w:r>
        <w:rPr>
          <w:rFonts w:hint="eastAsia" w:ascii="Times New Roman" w:hAnsi="Times New Roman" w:cs="Times New Roman"/>
        </w:rPr>
        <w:t>围绕高端制造、科创研发、循环经济、物流仓储、商务会展、智慧农业等类型，“一园一策”探索差异化建设路径，打造首都</w:t>
      </w:r>
      <w:r>
        <w:rPr>
          <w:rFonts w:ascii="Times New Roman" w:hAnsi="Times New Roman" w:cs="Times New Roman"/>
        </w:rPr>
        <w:t>特色鲜明的零碳园区</w:t>
      </w:r>
      <w:r>
        <w:rPr>
          <w:rFonts w:hint="eastAsia" w:ascii="Times New Roman" w:hAnsi="Times New Roman" w:cs="Times New Roman"/>
        </w:rPr>
        <w:t>建设</w:t>
      </w:r>
      <w:r>
        <w:rPr>
          <w:rFonts w:ascii="Times New Roman" w:hAnsi="Times New Roman" w:cs="Times New Roman"/>
        </w:rPr>
        <w:t>模式。</w:t>
      </w:r>
    </w:p>
    <w:p>
      <w:pPr>
        <w:spacing w:after="0"/>
        <w:ind w:firstLine="640"/>
        <w:outlineLvl w:val="1"/>
        <w:rPr>
          <w:rFonts w:ascii="Times New Roman" w:hAnsi="Times New Roman" w:cs="Times New Roman"/>
        </w:rPr>
      </w:pPr>
      <w:r>
        <w:rPr>
          <w:rFonts w:ascii="Times New Roman" w:hAnsi="Times New Roman" w:eastAsia="楷体_GB2312" w:cs="Times New Roman"/>
        </w:rPr>
        <w:t>（七）</w:t>
      </w:r>
      <w:r>
        <w:rPr>
          <w:rFonts w:hint="eastAsia" w:ascii="Times New Roman" w:hAnsi="Times New Roman" w:eastAsia="楷体_GB2312" w:cs="Times New Roman"/>
        </w:rPr>
        <w:t>完善</w:t>
      </w:r>
      <w:r>
        <w:rPr>
          <w:rFonts w:ascii="Times New Roman" w:hAnsi="Times New Roman" w:eastAsia="楷体_GB2312" w:cs="Times New Roman"/>
        </w:rPr>
        <w:t>园区</w:t>
      </w:r>
      <w:r>
        <w:rPr>
          <w:rFonts w:hint="eastAsia" w:ascii="Times New Roman" w:hAnsi="Times New Roman" w:eastAsia="楷体_GB2312" w:cs="Times New Roman"/>
        </w:rPr>
        <w:t>运营</w:t>
      </w:r>
      <w:r>
        <w:rPr>
          <w:rFonts w:ascii="Times New Roman" w:hAnsi="Times New Roman" w:eastAsia="楷体_GB2312" w:cs="Times New Roman"/>
        </w:rPr>
        <w:t>管理</w:t>
      </w:r>
      <w:r>
        <w:rPr>
          <w:rFonts w:hint="eastAsia" w:ascii="Times New Roman" w:hAnsi="Times New Roman" w:eastAsia="楷体_GB2312" w:cs="Times New Roman"/>
        </w:rPr>
        <w:t>模式</w:t>
      </w:r>
      <w:r>
        <w:rPr>
          <w:rFonts w:ascii="Times New Roman" w:hAnsi="Times New Roman" w:eastAsia="楷体_GB2312" w:cs="Times New Roman"/>
        </w:rPr>
        <w:t>。</w:t>
      </w:r>
      <w:r>
        <w:rPr>
          <w:rFonts w:ascii="Times New Roman" w:hAnsi="Times New Roman" w:cs="Times New Roman"/>
        </w:rPr>
        <w:t>鼓励园区</w:t>
      </w:r>
      <w:r>
        <w:rPr>
          <w:rFonts w:hint="eastAsia" w:ascii="Times New Roman" w:hAnsi="Times New Roman" w:cs="Times New Roman"/>
        </w:rPr>
        <w:t>积极引入</w:t>
      </w:r>
      <w:r>
        <w:rPr>
          <w:rFonts w:ascii="Times New Roman" w:hAnsi="Times New Roman" w:cs="Times New Roman"/>
        </w:rPr>
        <w:t>专业第三方</w:t>
      </w:r>
      <w:r>
        <w:rPr>
          <w:rFonts w:hint="eastAsia" w:ascii="Times New Roman" w:hAnsi="Times New Roman" w:cs="Times New Roman"/>
        </w:rPr>
        <w:t>服务</w:t>
      </w:r>
      <w:r>
        <w:rPr>
          <w:rFonts w:ascii="Times New Roman" w:hAnsi="Times New Roman" w:cs="Times New Roman"/>
        </w:rPr>
        <w:t>机构</w:t>
      </w:r>
      <w:r>
        <w:rPr>
          <w:rFonts w:hint="eastAsia" w:ascii="Times New Roman" w:hAnsi="Times New Roman" w:cs="Times New Roman"/>
        </w:rPr>
        <w:t>或综合服务平台统筹园区整体建设运营</w:t>
      </w:r>
      <w:r>
        <w:rPr>
          <w:rFonts w:ascii="Times New Roman" w:hAnsi="Times New Roman" w:cs="Times New Roman"/>
        </w:rPr>
        <w:t>，</w:t>
      </w:r>
      <w:r>
        <w:rPr>
          <w:rFonts w:hint="eastAsia" w:ascii="Times New Roman" w:hAnsi="Times New Roman" w:cs="Times New Roman"/>
        </w:rPr>
        <w:t>统筹组织</w:t>
      </w:r>
      <w:r>
        <w:rPr>
          <w:rFonts w:hint="eastAsia" w:ascii="Times New Roman" w:hAnsi="Times New Roman" w:cs="Times New Roman"/>
          <w:lang w:eastAsia="zh-CN"/>
        </w:rPr>
        <w:t>开展</w:t>
      </w:r>
      <w:r>
        <w:rPr>
          <w:rFonts w:hint="eastAsia" w:ascii="Times New Roman" w:hAnsi="Times New Roman" w:cs="Times New Roman"/>
        </w:rPr>
        <w:t>绿电采购</w:t>
      </w:r>
      <w:r>
        <w:rPr>
          <w:rFonts w:hint="eastAsia" w:ascii="Times New Roman" w:hAnsi="Times New Roman" w:cs="Times New Roman"/>
          <w:lang w:eastAsia="zh-CN"/>
        </w:rPr>
        <w:t>，</w:t>
      </w:r>
      <w:r>
        <w:rPr>
          <w:rFonts w:hint="eastAsia" w:ascii="Times New Roman" w:hAnsi="Times New Roman" w:cs="Times New Roman"/>
        </w:rPr>
        <w:t>运用能源费用托管、合同能源管理等市场化模式，</w:t>
      </w:r>
      <w:r>
        <w:rPr>
          <w:rFonts w:ascii="Times New Roman" w:hAnsi="Times New Roman" w:cs="Times New Roman"/>
        </w:rPr>
        <w:t>对园区能碳</w:t>
      </w:r>
      <w:r>
        <w:rPr>
          <w:rFonts w:hint="eastAsia" w:ascii="Times New Roman" w:hAnsi="Times New Roman" w:cs="Times New Roman"/>
        </w:rPr>
        <w:t>调控</w:t>
      </w:r>
      <w:r>
        <w:rPr>
          <w:rFonts w:ascii="Times New Roman" w:hAnsi="Times New Roman" w:cs="Times New Roman"/>
        </w:rPr>
        <w:t>、绿电交易、基础设施建设运维、</w:t>
      </w:r>
      <w:r>
        <w:rPr>
          <w:rFonts w:hint="eastAsia" w:ascii="Times New Roman" w:hAnsi="Times New Roman" w:cs="Times New Roman"/>
        </w:rPr>
        <w:t>项目投融资管理</w:t>
      </w:r>
      <w:r>
        <w:rPr>
          <w:rFonts w:ascii="Times New Roman" w:hAnsi="Times New Roman" w:cs="Times New Roman"/>
        </w:rPr>
        <w:t>等实行统一规划</w:t>
      </w:r>
      <w:r>
        <w:rPr>
          <w:rFonts w:hint="eastAsia" w:ascii="Times New Roman" w:hAnsi="Times New Roman" w:cs="Times New Roman"/>
        </w:rPr>
        <w:t>布局</w:t>
      </w:r>
      <w:r>
        <w:rPr>
          <w:rFonts w:ascii="Times New Roman" w:hAnsi="Times New Roman" w:cs="Times New Roman"/>
        </w:rPr>
        <w:t>、</w:t>
      </w:r>
      <w:r>
        <w:rPr>
          <w:rFonts w:hint="eastAsia" w:ascii="Times New Roman" w:hAnsi="Times New Roman" w:cs="Times New Roman"/>
        </w:rPr>
        <w:t>统筹项目</w:t>
      </w:r>
      <w:r>
        <w:rPr>
          <w:rFonts w:ascii="Times New Roman" w:hAnsi="Times New Roman" w:cs="Times New Roman"/>
        </w:rPr>
        <w:t>实施、</w:t>
      </w:r>
      <w:r>
        <w:rPr>
          <w:rFonts w:hint="eastAsia" w:ascii="Times New Roman" w:hAnsi="Times New Roman" w:cs="Times New Roman"/>
        </w:rPr>
        <w:t>专业化运营</w:t>
      </w:r>
      <w:r>
        <w:rPr>
          <w:rFonts w:ascii="Times New Roman" w:hAnsi="Times New Roman" w:cs="Times New Roman"/>
        </w:rPr>
        <w:t>。</w:t>
      </w:r>
    </w:p>
    <w:p>
      <w:pPr>
        <w:spacing w:after="0"/>
        <w:ind w:firstLine="640"/>
        <w:outlineLvl w:val="1"/>
        <w:rPr>
          <w:rFonts w:ascii="Times New Roman" w:hAnsi="Times New Roman" w:cs="Times New Roman"/>
        </w:rPr>
      </w:pPr>
      <w:r>
        <w:rPr>
          <w:rFonts w:ascii="Times New Roman" w:hAnsi="Times New Roman" w:eastAsia="楷体_GB2312" w:cs="Times New Roman"/>
        </w:rPr>
        <w:t>（八）</w:t>
      </w:r>
      <w:r>
        <w:rPr>
          <w:rFonts w:hint="eastAsia" w:ascii="Times New Roman" w:hAnsi="Times New Roman" w:eastAsia="楷体_GB2312" w:cs="Times New Roman"/>
        </w:rPr>
        <w:t>提升</w:t>
      </w:r>
      <w:r>
        <w:rPr>
          <w:rFonts w:ascii="Times New Roman" w:hAnsi="Times New Roman" w:eastAsia="楷体_GB2312" w:cs="Times New Roman"/>
        </w:rPr>
        <w:t>碳资产</w:t>
      </w:r>
      <w:r>
        <w:rPr>
          <w:rFonts w:hint="eastAsia" w:ascii="Times New Roman" w:hAnsi="Times New Roman" w:eastAsia="楷体_GB2312" w:cs="Times New Roman"/>
        </w:rPr>
        <w:t>开发管理和</w:t>
      </w:r>
      <w:r>
        <w:rPr>
          <w:rFonts w:ascii="Times New Roman" w:hAnsi="Times New Roman" w:eastAsia="楷体_GB2312" w:cs="Times New Roman"/>
        </w:rPr>
        <w:t>产品</w:t>
      </w:r>
      <w:r>
        <w:rPr>
          <w:rFonts w:hint="eastAsia" w:ascii="Times New Roman" w:hAnsi="Times New Roman" w:eastAsia="楷体_GB2312" w:cs="Times New Roman"/>
        </w:rPr>
        <w:t>碳足迹</w:t>
      </w:r>
      <w:r>
        <w:rPr>
          <w:rFonts w:ascii="Times New Roman" w:hAnsi="Times New Roman" w:eastAsia="楷体_GB2312" w:cs="Times New Roman"/>
        </w:rPr>
        <w:t>认证</w:t>
      </w:r>
      <w:r>
        <w:rPr>
          <w:rFonts w:hint="eastAsia" w:ascii="Times New Roman" w:hAnsi="Times New Roman" w:eastAsia="楷体_GB2312" w:cs="Times New Roman"/>
        </w:rPr>
        <w:t>能力</w:t>
      </w:r>
      <w:r>
        <w:rPr>
          <w:rFonts w:ascii="Times New Roman" w:hAnsi="Times New Roman" w:eastAsia="楷体_GB2312" w:cs="Times New Roman"/>
        </w:rPr>
        <w:t>。</w:t>
      </w:r>
      <w:r>
        <w:rPr>
          <w:rFonts w:hint="eastAsia" w:ascii="Times New Roman" w:hAnsi="Times New Roman" w:cs="Times New Roman"/>
        </w:rPr>
        <w:t>夯实园区能碳数据基础，建立规范完备的能碳数据管理体系。鼓励园区推进碳资产开发，探索生态碳汇、项目减排量纳入各类碳市场的实现路径。鼓励</w:t>
      </w:r>
      <w:r>
        <w:rPr>
          <w:rFonts w:ascii="Times New Roman" w:hAnsi="Times New Roman" w:cs="Times New Roman"/>
        </w:rPr>
        <w:t>园区积极引进</w:t>
      </w:r>
      <w:r>
        <w:rPr>
          <w:rFonts w:hint="eastAsia" w:ascii="Times New Roman" w:hAnsi="Times New Roman" w:cs="Times New Roman"/>
        </w:rPr>
        <w:t>第三方绿色认证专业服务机构，</w:t>
      </w:r>
      <w:r>
        <w:rPr>
          <w:rFonts w:ascii="Times New Roman" w:hAnsi="Times New Roman" w:cs="Times New Roman"/>
        </w:rPr>
        <w:t>引导企业主动对标国际</w:t>
      </w:r>
      <w:r>
        <w:rPr>
          <w:rFonts w:hint="eastAsia" w:ascii="Times New Roman" w:hAnsi="Times New Roman" w:cs="Times New Roman"/>
        </w:rPr>
        <w:t>通用规则，</w:t>
      </w:r>
      <w:r>
        <w:rPr>
          <w:rFonts w:ascii="Times New Roman" w:hAnsi="Times New Roman" w:cs="Times New Roman"/>
        </w:rPr>
        <w:t>常态化开展产品碳足迹核算与认证，</w:t>
      </w:r>
      <w:r>
        <w:rPr>
          <w:rFonts w:hint="eastAsia" w:ascii="Times New Roman" w:hAnsi="Times New Roman" w:cs="Times New Roman"/>
        </w:rPr>
        <w:t>提升</w:t>
      </w:r>
      <w:r>
        <w:rPr>
          <w:rFonts w:ascii="Times New Roman" w:hAnsi="Times New Roman" w:cs="Times New Roman"/>
        </w:rPr>
        <w:t>碳足迹数据国际</w:t>
      </w:r>
      <w:r>
        <w:rPr>
          <w:rFonts w:hint="eastAsia" w:ascii="Times New Roman" w:hAnsi="Times New Roman" w:cs="Times New Roman"/>
        </w:rPr>
        <w:t>认可度。</w:t>
      </w:r>
    </w:p>
    <w:p>
      <w:pPr>
        <w:spacing w:after="0"/>
        <w:ind w:firstLine="640"/>
        <w:outlineLvl w:val="1"/>
        <w:rPr>
          <w:rFonts w:ascii="Times New Roman" w:hAnsi="Times New Roman" w:cs="Times New Roman"/>
        </w:rPr>
      </w:pPr>
      <w:r>
        <w:rPr>
          <w:rFonts w:ascii="Times New Roman" w:hAnsi="Times New Roman" w:eastAsia="楷体_GB2312" w:cs="Times New Roman"/>
        </w:rPr>
        <w:t>（</w:t>
      </w:r>
      <w:r>
        <w:rPr>
          <w:rFonts w:hint="eastAsia" w:ascii="Times New Roman" w:hAnsi="Times New Roman" w:eastAsia="楷体_GB2312" w:cs="Times New Roman"/>
        </w:rPr>
        <w:t>九</w:t>
      </w:r>
      <w:r>
        <w:rPr>
          <w:rFonts w:ascii="Times New Roman" w:hAnsi="Times New Roman" w:eastAsia="楷体_GB2312" w:cs="Times New Roman"/>
        </w:rPr>
        <w:t>）</w:t>
      </w:r>
      <w:r>
        <w:rPr>
          <w:rFonts w:hint="eastAsia" w:ascii="Times New Roman" w:hAnsi="Times New Roman" w:eastAsia="楷体_GB2312" w:cs="Times New Roman"/>
        </w:rPr>
        <w:t>强化先进技术集成示范</w:t>
      </w:r>
      <w:r>
        <w:rPr>
          <w:rFonts w:ascii="Times New Roman" w:hAnsi="Times New Roman" w:eastAsia="楷体_GB2312" w:cs="Times New Roman"/>
        </w:rPr>
        <w:t>。</w:t>
      </w:r>
      <w:r>
        <w:rPr>
          <w:rFonts w:hint="eastAsia" w:ascii="Times New Roman" w:hAnsi="Times New Roman" w:cs="Times New Roman"/>
        </w:rPr>
        <w:t>推动园区围绕节能降碳改造、可再生能源替代、能碳智慧管控、负碳示范等领域，集成应用一批绿色低碳前沿技术，落地建设一批示范项目，形成并推广一批成套化、可复制的零碳园区技术系统解决方案。</w:t>
      </w:r>
    </w:p>
    <w:p>
      <w:pPr>
        <w:spacing w:after="0"/>
        <w:ind w:firstLine="640"/>
        <w:outlineLvl w:val="0"/>
        <w:rPr>
          <w:rFonts w:ascii="Times New Roman" w:hAnsi="Times New Roman" w:eastAsia="黑体" w:cs="Times New Roman"/>
          <w:szCs w:val="30"/>
        </w:rPr>
      </w:pPr>
      <w:r>
        <w:rPr>
          <w:rFonts w:hint="eastAsia" w:ascii="Times New Roman" w:hAnsi="Times New Roman" w:eastAsia="黑体" w:cs="Times New Roman"/>
          <w:szCs w:val="30"/>
        </w:rPr>
        <w:t>三</w:t>
      </w:r>
      <w:r>
        <w:rPr>
          <w:rFonts w:ascii="Times New Roman" w:hAnsi="Times New Roman" w:eastAsia="黑体" w:cs="Times New Roman"/>
          <w:szCs w:val="30"/>
        </w:rPr>
        <w:t>、支持政策</w:t>
      </w:r>
    </w:p>
    <w:p>
      <w:pPr>
        <w:spacing w:after="0"/>
        <w:ind w:firstLine="640"/>
        <w:outlineLvl w:val="1"/>
        <w:rPr>
          <w:rFonts w:hint="eastAsia" w:ascii="仿宋_GB2312" w:hAnsi="仿宋_GB2312" w:eastAsia="仿宋_GB2312" w:cs="仿宋_GB2312"/>
        </w:rPr>
      </w:pPr>
      <w:r>
        <w:rPr>
          <w:rFonts w:ascii="Times New Roman" w:hAnsi="Times New Roman" w:eastAsia="楷体_GB2312" w:cs="Times New Roman"/>
        </w:rPr>
        <w:t>（</w:t>
      </w:r>
      <w:r>
        <w:rPr>
          <w:rFonts w:hint="eastAsia" w:ascii="Times New Roman" w:hAnsi="Times New Roman" w:eastAsia="楷体_GB2312" w:cs="Times New Roman"/>
        </w:rPr>
        <w:t>十</w:t>
      </w:r>
      <w:r>
        <w:rPr>
          <w:rFonts w:ascii="Times New Roman" w:hAnsi="Times New Roman" w:eastAsia="楷体_GB2312" w:cs="Times New Roman"/>
        </w:rPr>
        <w:t>）加强资金支持。</w:t>
      </w:r>
      <w:r>
        <w:rPr>
          <w:rFonts w:hint="eastAsia" w:ascii="仿宋_GB2312" w:hAnsi="仿宋_GB2312" w:eastAsia="仿宋_GB2312" w:cs="仿宋_GB2312"/>
        </w:rPr>
        <w:t>对列入建设名单的园区，统筹利用现有资金渠道给予支持，支持符合条件的项目争取中央预算内、超长期特别国债等政策性资金。对符合建设内容要求的项目，按照</w:t>
      </w:r>
      <w:r>
        <w:rPr>
          <w:rFonts w:hint="eastAsia" w:cs="仿宋_GB2312"/>
          <w:lang w:eastAsia="zh-CN"/>
        </w:rPr>
        <w:t>《北京市加快推动第五立面光伏应用若干措施》《市政府固定资产投资支持供热管网更新及智能化改造项目实施细则》《市政府固定资产投资支持先进充电设施示范项目的实施细则（试行）》《全面推进新能源供热高质量发展的实施意见》等现行</w:t>
      </w:r>
      <w:r>
        <w:rPr>
          <w:rFonts w:hint="eastAsia" w:cs="仿宋_GB2312"/>
          <w:highlight w:val="none"/>
          <w:lang w:eastAsia="zh-CN"/>
        </w:rPr>
        <w:t>政策，给予</w:t>
      </w:r>
      <w:r>
        <w:rPr>
          <w:rFonts w:hint="eastAsia" w:cs="仿宋_GB2312"/>
          <w:highlight w:val="none"/>
          <w:lang w:val="en-US" w:eastAsia="zh-CN"/>
        </w:rPr>
        <w:t>30%-50%的资金</w:t>
      </w:r>
      <w:r>
        <w:rPr>
          <w:rFonts w:hint="eastAsia" w:cs="仿宋_GB2312"/>
          <w:highlight w:val="none"/>
          <w:lang w:eastAsia="zh-CN"/>
        </w:rPr>
        <w:t>支持</w:t>
      </w:r>
      <w:r>
        <w:rPr>
          <w:rFonts w:hint="eastAsia" w:ascii="仿宋_GB2312" w:hAnsi="仿宋_GB2312" w:eastAsia="仿宋_GB2312" w:cs="仿宋_GB2312"/>
        </w:rPr>
        <w:t>。对园区内负碳示范、能碳管理平台、采用本市绿色低碳先进技术推荐目录中技术的项目，市政府固定资产投资的支持比例可提高至40%，最高不超过5000万元。对使用首台（套）重大技术装备的项目，按照有关规定给予支持。对零碳工厂建设项目</w:t>
      </w:r>
      <w:r>
        <w:rPr>
          <w:rFonts w:hint="eastAsia" w:cs="仿宋_GB2312"/>
          <w:lang w:eastAsia="zh-CN"/>
        </w:rPr>
        <w:t>，按照有关政策</w:t>
      </w:r>
      <w:r>
        <w:rPr>
          <w:rFonts w:hint="eastAsia" w:ascii="仿宋_GB2312" w:hAnsi="仿宋_GB2312" w:eastAsia="仿宋_GB2312" w:cs="仿宋_GB2312"/>
        </w:rPr>
        <w:t>给予支持</w:t>
      </w:r>
      <w:r>
        <w:rPr>
          <w:rFonts w:hint="eastAsia" w:cs="仿宋_GB2312"/>
          <w:lang w:eastAsia="zh-CN"/>
        </w:rPr>
        <w:t>。</w:t>
      </w:r>
      <w:r>
        <w:rPr>
          <w:rFonts w:hint="eastAsia" w:ascii="仿宋_GB2312" w:hAnsi="仿宋_GB2312" w:eastAsia="仿宋_GB2312" w:cs="仿宋_GB2312"/>
        </w:rPr>
        <w:t>已通过其他渠道获得市级财政性资金支持的项目，不重复支持。</w:t>
      </w:r>
    </w:p>
    <w:p>
      <w:pPr>
        <w:spacing w:after="0"/>
        <w:ind w:firstLine="640"/>
        <w:outlineLvl w:val="1"/>
        <w:rPr>
          <w:rFonts w:ascii="Times New Roman" w:hAnsi="Times New Roman" w:cs="Times New Roman"/>
        </w:rPr>
      </w:pPr>
      <w:r>
        <w:rPr>
          <w:rFonts w:ascii="Times New Roman" w:hAnsi="Times New Roman" w:eastAsia="楷体_GB2312" w:cs="Times New Roman"/>
        </w:rPr>
        <w:t>（</w:t>
      </w:r>
      <w:r>
        <w:rPr>
          <w:rFonts w:hint="eastAsia" w:ascii="Times New Roman" w:hAnsi="Times New Roman" w:eastAsia="楷体_GB2312" w:cs="Times New Roman"/>
        </w:rPr>
        <w:t>十一</w:t>
      </w:r>
      <w:r>
        <w:rPr>
          <w:rFonts w:ascii="Times New Roman" w:hAnsi="Times New Roman" w:eastAsia="楷体_GB2312" w:cs="Times New Roman"/>
        </w:rPr>
        <w:t>）拓宽融资渠道。</w:t>
      </w:r>
      <w:r>
        <w:rPr>
          <w:rFonts w:hint="eastAsia" w:ascii="仿宋_GB2312" w:hAnsi="仿宋_GB2312" w:eastAsia="仿宋_GB2312" w:cs="仿宋_GB2312"/>
        </w:rPr>
        <w:t>鼓励各类金融机构立足定位，按照市场化、法制化原则，优化零碳园区项目贷款条件，在融资成本、还款计划上给予合理安排，开发与节能降碳成效相关联的可持续挂钩贷款、碳排放权质押贷款等创新产品，加强对零碳园区建设的中长期贷款支持。支持符合条件的零碳园区项目建设和运营企业发行债券，鼓励金融机构将符合条件的零碳园区项目纳入绿色金融债券支持范围。鼓励金融机构发挥专业优势，为零碳园区运营主体提供融资顾问、投资银行、支付结算等综合性金融服务，协助零碳园区增加长期稳定现金流</w:t>
      </w:r>
      <w:r>
        <w:rPr>
          <w:rFonts w:ascii="Times New Roman" w:hAnsi="Times New Roman" w:cs="Times New Roman"/>
        </w:rPr>
        <w:t>。</w:t>
      </w:r>
    </w:p>
    <w:p>
      <w:pPr>
        <w:spacing w:after="0"/>
        <w:ind w:firstLine="640"/>
        <w:outlineLvl w:val="1"/>
        <w:rPr>
          <w:rFonts w:ascii="Times New Roman" w:hAnsi="Times New Roman" w:cs="Times New Roman"/>
        </w:rPr>
      </w:pPr>
      <w:r>
        <w:rPr>
          <w:rFonts w:hint="eastAsia" w:ascii="Times New Roman" w:hAnsi="Times New Roman" w:eastAsia="楷体_GB2312" w:cs="Times New Roman"/>
        </w:rPr>
        <w:t>（十二）强化技术支撑。</w:t>
      </w:r>
      <w:r>
        <w:rPr>
          <w:rFonts w:hint="eastAsia" w:ascii="Times New Roman" w:hAnsi="Times New Roman" w:cs="Times New Roman"/>
        </w:rPr>
        <w:t>健全专业化、常态化技术支撑体系，建立零碳园区专家顾问库，服务支撑园区的规划设计、技术选型、项目实施、监测核查、评价认定等工作，提高全市零碳园区建设的科学性和先进性。</w:t>
      </w:r>
    </w:p>
    <w:p>
      <w:pPr>
        <w:spacing w:after="0"/>
        <w:ind w:firstLine="640"/>
        <w:outlineLvl w:val="0"/>
        <w:rPr>
          <w:rFonts w:ascii="Times New Roman" w:hAnsi="Times New Roman" w:eastAsia="黑体" w:cs="Times New Roman"/>
          <w:szCs w:val="30"/>
        </w:rPr>
      </w:pPr>
      <w:r>
        <w:rPr>
          <w:rFonts w:hint="eastAsia" w:ascii="Times New Roman" w:hAnsi="Times New Roman" w:eastAsia="黑体" w:cs="Times New Roman"/>
          <w:szCs w:val="30"/>
        </w:rPr>
        <w:t>四</w:t>
      </w:r>
      <w:r>
        <w:rPr>
          <w:rFonts w:ascii="Times New Roman" w:hAnsi="Times New Roman" w:eastAsia="黑体" w:cs="Times New Roman"/>
          <w:szCs w:val="30"/>
        </w:rPr>
        <w:t>、组织实施</w:t>
      </w:r>
    </w:p>
    <w:p>
      <w:pPr>
        <w:spacing w:after="0"/>
        <w:ind w:firstLine="640"/>
        <w:outlineLvl w:val="1"/>
        <w:rPr>
          <w:rFonts w:ascii="Times New Roman" w:hAnsi="Times New Roman" w:cs="Times New Roman"/>
        </w:rPr>
      </w:pPr>
      <w:bookmarkStart w:id="2" w:name="OLE_LINK4"/>
      <w:r>
        <w:rPr>
          <w:rFonts w:ascii="Times New Roman" w:hAnsi="Times New Roman" w:eastAsia="楷体_GB2312" w:cs="Times New Roman"/>
        </w:rPr>
        <w:t>（</w:t>
      </w:r>
      <w:r>
        <w:rPr>
          <w:rFonts w:hint="eastAsia" w:ascii="Times New Roman" w:hAnsi="Times New Roman" w:eastAsia="楷体_GB2312" w:cs="Times New Roman"/>
        </w:rPr>
        <w:t>十三</w:t>
      </w:r>
      <w:r>
        <w:rPr>
          <w:rFonts w:ascii="Times New Roman" w:hAnsi="Times New Roman" w:eastAsia="楷体_GB2312" w:cs="Times New Roman"/>
        </w:rPr>
        <w:t>）组织申报。</w:t>
      </w:r>
      <w:r>
        <w:rPr>
          <w:rFonts w:hint="eastAsia" w:ascii="Times New Roman" w:hAnsi="Times New Roman" w:cs="Times New Roman"/>
        </w:rPr>
        <w:t>按照年度动态开展组织申报工作，</w:t>
      </w:r>
      <w:r>
        <w:rPr>
          <w:rFonts w:ascii="Times New Roman" w:hAnsi="Times New Roman" w:cs="Times New Roman"/>
        </w:rPr>
        <w:t>各区发展改革委</w:t>
      </w:r>
      <w:r>
        <w:rPr>
          <w:rFonts w:hint="eastAsia" w:ascii="Times New Roman" w:hAnsi="Times New Roman" w:cs="Times New Roman"/>
        </w:rPr>
        <w:t>组织</w:t>
      </w:r>
      <w:r>
        <w:rPr>
          <w:rFonts w:ascii="Times New Roman" w:hAnsi="Times New Roman" w:cs="Times New Roman"/>
        </w:rPr>
        <w:t>符合申报条件、有意愿参与的园区申报</w:t>
      </w:r>
      <w:r>
        <w:rPr>
          <w:rFonts w:hint="eastAsia" w:ascii="Times New Roman" w:hAnsi="Times New Roman" w:cs="Times New Roman"/>
        </w:rPr>
        <w:t>，</w:t>
      </w:r>
      <w:r>
        <w:rPr>
          <w:rFonts w:ascii="Times New Roman" w:hAnsi="Times New Roman" w:cs="Times New Roman"/>
        </w:rPr>
        <w:t>申报园区按要求编制零碳园区</w:t>
      </w:r>
      <w:r>
        <w:rPr>
          <w:rFonts w:hint="eastAsia" w:ascii="Times New Roman" w:hAnsi="Times New Roman" w:cs="Times New Roman"/>
        </w:rPr>
        <w:t>实施</w:t>
      </w:r>
      <w:r>
        <w:rPr>
          <w:rFonts w:ascii="Times New Roman" w:hAnsi="Times New Roman" w:cs="Times New Roman"/>
        </w:rPr>
        <w:t>方案，并向所在地区发展改革委提交申报材料。</w:t>
      </w:r>
    </w:p>
    <w:p>
      <w:pPr>
        <w:spacing w:after="0"/>
        <w:ind w:firstLine="640"/>
        <w:outlineLvl w:val="1"/>
        <w:rPr>
          <w:rFonts w:ascii="Times New Roman" w:hAnsi="Times New Roman" w:cs="Times New Roman"/>
        </w:rPr>
      </w:pPr>
      <w:r>
        <w:rPr>
          <w:rFonts w:ascii="Times New Roman" w:hAnsi="Times New Roman" w:eastAsia="楷体_GB2312" w:cs="Times New Roman"/>
        </w:rPr>
        <w:t>（</w:t>
      </w:r>
      <w:r>
        <w:rPr>
          <w:rFonts w:hint="eastAsia" w:ascii="Times New Roman" w:hAnsi="Times New Roman" w:eastAsia="楷体_GB2312" w:cs="Times New Roman"/>
        </w:rPr>
        <w:t>十四</w:t>
      </w:r>
      <w:r>
        <w:rPr>
          <w:rFonts w:ascii="Times New Roman" w:hAnsi="Times New Roman" w:eastAsia="楷体_GB2312" w:cs="Times New Roman"/>
        </w:rPr>
        <w:t>）确定名单。</w:t>
      </w:r>
      <w:r>
        <w:rPr>
          <w:rFonts w:ascii="Times New Roman" w:hAnsi="Times New Roman" w:cs="Times New Roman"/>
        </w:rPr>
        <w:t>区发展改革委要对</w:t>
      </w:r>
      <w:r>
        <w:rPr>
          <w:rFonts w:hint="eastAsia" w:ascii="Times New Roman" w:hAnsi="Times New Roman" w:cs="Times New Roman"/>
        </w:rPr>
        <w:t>实施</w:t>
      </w:r>
      <w:r>
        <w:rPr>
          <w:rFonts w:ascii="Times New Roman" w:hAnsi="Times New Roman" w:cs="Times New Roman"/>
        </w:rPr>
        <w:t>方案的真实性、准确性、完整性和合规性进行</w:t>
      </w:r>
      <w:r>
        <w:rPr>
          <w:rFonts w:hint="eastAsia" w:ascii="Times New Roman" w:hAnsi="Times New Roman" w:cs="Times New Roman"/>
        </w:rPr>
        <w:t>初审</w:t>
      </w:r>
      <w:r>
        <w:rPr>
          <w:rFonts w:ascii="Times New Roman" w:hAnsi="Times New Roman" w:cs="Times New Roman"/>
        </w:rPr>
        <w:t>，在深入论证的基础上提出本区推荐名单，将推荐名单与</w:t>
      </w:r>
      <w:r>
        <w:rPr>
          <w:rFonts w:hint="eastAsia" w:ascii="Times New Roman" w:hAnsi="Times New Roman" w:cs="Times New Roman"/>
        </w:rPr>
        <w:t>实施</w:t>
      </w:r>
      <w:r>
        <w:rPr>
          <w:rFonts w:ascii="Times New Roman" w:hAnsi="Times New Roman" w:cs="Times New Roman"/>
        </w:rPr>
        <w:t>方案书面报送至市发展改革委。市发展改革委</w:t>
      </w:r>
      <w:r>
        <w:rPr>
          <w:rFonts w:hint="eastAsia" w:ascii="Times New Roman" w:hAnsi="Times New Roman" w:cs="Times New Roman"/>
        </w:rPr>
        <w:t>会同</w:t>
      </w:r>
      <w:r>
        <w:rPr>
          <w:rFonts w:hint="eastAsia" w:ascii="Times New Roman" w:hAnsi="Times New Roman" w:cs="Times New Roman"/>
          <w:lang w:eastAsia="zh-CN"/>
        </w:rPr>
        <w:t>市经济和信息化局、市科委中关村管委会等</w:t>
      </w:r>
      <w:r>
        <w:rPr>
          <w:rFonts w:hint="eastAsia" w:ascii="Times New Roman" w:hAnsi="Times New Roman" w:cs="Times New Roman"/>
        </w:rPr>
        <w:t>相关部门</w:t>
      </w:r>
      <w:r>
        <w:rPr>
          <w:rFonts w:ascii="Times New Roman" w:hAnsi="Times New Roman" w:cs="Times New Roman"/>
        </w:rPr>
        <w:t>组织专家评审后确定并公布</w:t>
      </w:r>
      <w:r>
        <w:rPr>
          <w:rFonts w:hint="eastAsia" w:ascii="Times New Roman" w:hAnsi="Times New Roman" w:cs="Times New Roman"/>
        </w:rPr>
        <w:t>建设</w:t>
      </w:r>
      <w:r>
        <w:rPr>
          <w:rFonts w:ascii="Times New Roman" w:hAnsi="Times New Roman" w:cs="Times New Roman"/>
        </w:rPr>
        <w:t>名单。国家级零碳园区自动纳入市级零碳园区统一管理。</w:t>
      </w:r>
    </w:p>
    <w:p>
      <w:pPr>
        <w:spacing w:after="0"/>
        <w:ind w:firstLine="640"/>
        <w:outlineLvl w:val="1"/>
        <w:rPr>
          <w:rFonts w:ascii="Times New Roman" w:hAnsi="Times New Roman" w:cs="Times New Roman"/>
        </w:rPr>
      </w:pPr>
      <w:r>
        <w:rPr>
          <w:rFonts w:ascii="Times New Roman" w:hAnsi="Times New Roman" w:eastAsia="楷体_GB2312" w:cs="Times New Roman"/>
        </w:rPr>
        <w:t>（</w:t>
      </w:r>
      <w:r>
        <w:rPr>
          <w:rFonts w:hint="eastAsia" w:ascii="Times New Roman" w:hAnsi="Times New Roman" w:eastAsia="楷体_GB2312" w:cs="Times New Roman"/>
        </w:rPr>
        <w:t>十五</w:t>
      </w:r>
      <w:r>
        <w:rPr>
          <w:rFonts w:ascii="Times New Roman" w:hAnsi="Times New Roman" w:eastAsia="楷体_GB2312" w:cs="Times New Roman"/>
        </w:rPr>
        <w:t>）方案实施。</w:t>
      </w:r>
      <w:r>
        <w:rPr>
          <w:rFonts w:ascii="Times New Roman" w:hAnsi="Times New Roman" w:cs="Times New Roman"/>
        </w:rPr>
        <w:t>列入</w:t>
      </w:r>
      <w:r>
        <w:rPr>
          <w:rFonts w:hint="eastAsia" w:ascii="Times New Roman" w:hAnsi="Times New Roman" w:cs="Times New Roman"/>
        </w:rPr>
        <w:t>建设</w:t>
      </w:r>
      <w:r>
        <w:rPr>
          <w:rFonts w:ascii="Times New Roman" w:hAnsi="Times New Roman" w:cs="Times New Roman"/>
        </w:rPr>
        <w:t>名单的园区要根据</w:t>
      </w:r>
      <w:r>
        <w:rPr>
          <w:rFonts w:hint="eastAsia" w:ascii="Times New Roman" w:hAnsi="Times New Roman" w:cs="Times New Roman"/>
        </w:rPr>
        <w:t>实施</w:t>
      </w:r>
      <w:r>
        <w:rPr>
          <w:rFonts w:ascii="Times New Roman" w:hAnsi="Times New Roman" w:cs="Times New Roman"/>
        </w:rPr>
        <w:t>方案扎实开展工作</w:t>
      </w:r>
      <w:r>
        <w:rPr>
          <w:rFonts w:hint="eastAsia" w:ascii="Times New Roman" w:hAnsi="Times New Roman" w:cs="Times New Roman"/>
        </w:rPr>
        <w:t>，</w:t>
      </w:r>
      <w:r>
        <w:rPr>
          <w:rFonts w:ascii="Times New Roman" w:hAnsi="Times New Roman" w:cs="Times New Roman"/>
        </w:rPr>
        <w:t>建设期一般</w:t>
      </w:r>
      <w:r>
        <w:rPr>
          <w:rFonts w:hint="eastAsia" w:ascii="仿宋_GB2312" w:hAnsi="仿宋_GB2312" w:eastAsia="仿宋_GB2312" w:cs="仿宋_GB2312"/>
        </w:rPr>
        <w:t>为3年</w:t>
      </w:r>
      <w:r>
        <w:rPr>
          <w:rFonts w:hint="eastAsia" w:ascii="Times New Roman" w:hAnsi="Times New Roman" w:cs="Times New Roman"/>
        </w:rPr>
        <w:t>。市发展改革委会同相关部门加强对园区建设进展情况的跟踪，及时协调解决建设过程中存在的困难和问题，对进展缓慢的，动态调整退出建设名单。</w:t>
      </w:r>
    </w:p>
    <w:bookmarkEnd w:id="2"/>
    <w:p>
      <w:pPr>
        <w:spacing w:after="0"/>
        <w:ind w:firstLine="640"/>
        <w:outlineLvl w:val="1"/>
        <w:rPr>
          <w:rFonts w:ascii="Times New Roman" w:hAnsi="Times New Roman" w:cs="Times New Roman"/>
        </w:rPr>
      </w:pPr>
      <w:r>
        <w:rPr>
          <w:rFonts w:ascii="Times New Roman" w:hAnsi="Times New Roman" w:eastAsia="楷体_GB2312" w:cs="Times New Roman"/>
        </w:rPr>
        <w:t>（</w:t>
      </w:r>
      <w:r>
        <w:rPr>
          <w:rFonts w:hint="eastAsia" w:ascii="Times New Roman" w:hAnsi="Times New Roman" w:eastAsia="楷体_GB2312" w:cs="Times New Roman"/>
        </w:rPr>
        <w:t>十六</w:t>
      </w:r>
      <w:r>
        <w:rPr>
          <w:rFonts w:ascii="Times New Roman" w:hAnsi="Times New Roman" w:eastAsia="楷体_GB2312" w:cs="Times New Roman"/>
        </w:rPr>
        <w:t>）评估验收。</w:t>
      </w:r>
      <w:r>
        <w:rPr>
          <w:rFonts w:hint="eastAsia" w:ascii="Times New Roman" w:hAnsi="Times New Roman" w:cs="Times New Roman"/>
        </w:rPr>
        <w:t>列入建设名单的</w:t>
      </w:r>
      <w:r>
        <w:rPr>
          <w:rFonts w:ascii="Times New Roman" w:hAnsi="Times New Roman" w:cs="Times New Roman"/>
        </w:rPr>
        <w:t>园区每年需对照建设目标，根据自身建设情况编制自评估报告</w:t>
      </w:r>
      <w:r>
        <w:rPr>
          <w:rFonts w:hint="eastAsia" w:ascii="Times New Roman" w:hAnsi="Times New Roman" w:cs="Times New Roman"/>
        </w:rPr>
        <w:t>，并报送市发展改革委</w:t>
      </w:r>
      <w:r>
        <w:rPr>
          <w:rFonts w:ascii="Times New Roman" w:hAnsi="Times New Roman" w:cs="Times New Roman"/>
        </w:rPr>
        <w:t>。完成建设目标，达到验收条件后，园区可提交当年的自评估报告及相关验收材料申请验收，通过验收的园区，正式成为零碳园区。</w:t>
      </w:r>
    </w:p>
    <w:p>
      <w:pPr>
        <w:spacing w:after="0"/>
        <w:ind w:firstLine="640"/>
        <w:rPr>
          <w:rFonts w:ascii="Times New Roman" w:hAnsi="Times New Roman" w:cs="Times New Roman"/>
        </w:rPr>
      </w:pPr>
      <w:r>
        <w:rPr>
          <w:rFonts w:ascii="Times New Roman" w:hAnsi="Times New Roman" w:cs="Times New Roman"/>
        </w:rPr>
        <w:t>市发展改革委负责统筹推进全市零碳园区建设工作，会同</w:t>
      </w:r>
      <w:r>
        <w:rPr>
          <w:rFonts w:hint="eastAsia" w:ascii="Times New Roman" w:hAnsi="Times New Roman" w:cs="Times New Roman"/>
          <w:lang w:eastAsia="zh-CN"/>
        </w:rPr>
        <w:t>市经济和信息化局、市科委中关村管委会等</w:t>
      </w:r>
      <w:r>
        <w:rPr>
          <w:rFonts w:ascii="Times New Roman" w:hAnsi="Times New Roman" w:cs="Times New Roman"/>
        </w:rPr>
        <w:t>相关部门持续推动政策创新和</w:t>
      </w:r>
      <w:r>
        <w:rPr>
          <w:rFonts w:hint="eastAsia" w:ascii="Times New Roman" w:hAnsi="Times New Roman" w:cs="Times New Roman"/>
        </w:rPr>
        <w:t>机制</w:t>
      </w:r>
      <w:r>
        <w:rPr>
          <w:rFonts w:ascii="Times New Roman" w:hAnsi="Times New Roman" w:cs="Times New Roman"/>
        </w:rPr>
        <w:t>建设</w:t>
      </w:r>
      <w:r>
        <w:rPr>
          <w:rFonts w:hint="eastAsia" w:ascii="Times New Roman" w:hAnsi="Times New Roman" w:cs="Times New Roman"/>
          <w:lang w:eastAsia="zh-CN"/>
        </w:rPr>
        <w:t>。北京节能环保中心作为第三方支撑机构，要做好政策咨询、技术指导与专业服务等保障工作</w:t>
      </w:r>
      <w:r>
        <w:rPr>
          <w:rFonts w:ascii="Times New Roman" w:hAnsi="Times New Roman" w:cs="Times New Roman"/>
        </w:rPr>
        <w:t>。各区发展改革部门要落实属地责任，在政策落地、项目建设、资金安排等方面给予零碳园区积极支持。</w:t>
      </w:r>
      <w:r>
        <w:rPr>
          <w:rFonts w:hint="eastAsia" w:ascii="Times New Roman" w:hAnsi="Times New Roman" w:cs="Times New Roman"/>
        </w:rPr>
        <w:t>园区及相关责任部门要及时总结园区建设经验和典型做法，依托</w:t>
      </w:r>
      <w:r>
        <w:rPr>
          <w:rFonts w:ascii="Times New Roman" w:hAnsi="Times New Roman" w:cs="Times New Roman"/>
        </w:rPr>
        <w:t>各类新闻媒体</w:t>
      </w:r>
      <w:r>
        <w:rPr>
          <w:rFonts w:hint="eastAsia" w:ascii="Times New Roman" w:hAnsi="Times New Roman" w:cs="Times New Roman"/>
        </w:rPr>
        <w:t>以及全国生态日、节能宣传周等活动，</w:t>
      </w:r>
      <w:r>
        <w:rPr>
          <w:rFonts w:ascii="Times New Roman" w:hAnsi="Times New Roman" w:cs="Times New Roman"/>
        </w:rPr>
        <w:t>开展零碳园区建设经验交流和案例分享，</w:t>
      </w:r>
      <w:r>
        <w:rPr>
          <w:rFonts w:hint="eastAsia" w:ascii="Times New Roman" w:hAnsi="Times New Roman" w:cs="Times New Roman"/>
        </w:rPr>
        <w:t>凝聚社会共识，</w:t>
      </w:r>
      <w:r>
        <w:rPr>
          <w:rFonts w:ascii="Times New Roman" w:hAnsi="Times New Roman" w:cs="Times New Roman"/>
        </w:rPr>
        <w:t>营造良好氛围。</w:t>
      </w:r>
    </w:p>
    <w:p>
      <w:pPr>
        <w:spacing w:after="0"/>
        <w:ind w:firstLine="640"/>
        <w:rPr>
          <w:rFonts w:ascii="Times New Roman" w:hAnsi="Times New Roman" w:cs="Times New Roman"/>
        </w:rPr>
      </w:pPr>
    </w:p>
    <w:p>
      <w:pPr>
        <w:spacing w:after="0"/>
        <w:ind w:firstLine="640"/>
        <w:rPr>
          <w:rFonts w:hint="eastAsia" w:ascii="仿宋_GB2312" w:hAnsi="仿宋_GB2312" w:eastAsia="仿宋_GB2312" w:cs="仿宋_GB2312"/>
        </w:rPr>
      </w:pPr>
      <w:r>
        <w:rPr>
          <w:rFonts w:ascii="Times New Roman" w:hAnsi="Times New Roman" w:cs="Times New Roman"/>
        </w:rPr>
        <w:t>附件</w:t>
      </w:r>
      <w:r>
        <w:rPr>
          <w:rFonts w:hint="eastAsia" w:ascii="仿宋_GB2312" w:hAnsi="仿宋_GB2312" w:eastAsia="仿宋_GB2312" w:cs="仿宋_GB2312"/>
        </w:rPr>
        <w:t>：1.北京市零碳园区建设基本条件</w:t>
      </w:r>
    </w:p>
    <w:p>
      <w:pPr>
        <w:numPr>
          <w:ilvl w:val="0"/>
          <w:numId w:val="0"/>
        </w:numPr>
        <w:spacing w:after="0"/>
        <w:ind w:left="1600" w:leftChars="500" w:firstLine="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北京市零碳园区建设指标体系</w:t>
      </w:r>
    </w:p>
    <w:p>
      <w:pPr>
        <w:numPr>
          <w:ilvl w:val="0"/>
          <w:numId w:val="0"/>
        </w:numPr>
        <w:spacing w:after="0"/>
        <w:ind w:left="1600" w:leftChars="500" w:firstLine="0" w:firstLineChars="0"/>
        <w:rPr>
          <w:rFonts w:ascii="Times New Roman" w:hAnsi="Times New Roman" w:cs="Times New Roman"/>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北京市</w:t>
      </w:r>
      <w:r>
        <w:rPr>
          <w:rFonts w:ascii="Times New Roman" w:hAnsi="Times New Roman" w:cs="Times New Roman"/>
        </w:rPr>
        <w:t>零碳园区建设实施方案编制大纲</w:t>
      </w:r>
    </w:p>
    <w:p>
      <w:pPr>
        <w:spacing w:after="0"/>
        <w:ind w:right="1280" w:firstLine="4160" w:firstLineChars="1300"/>
        <w:rPr>
          <w:rFonts w:ascii="Times New Roman" w:hAnsi="Times New Roman" w:cs="Times New Roman"/>
        </w:rPr>
      </w:pPr>
    </w:p>
    <w:p>
      <w:pPr>
        <w:spacing w:after="0"/>
        <w:ind w:right="1280" w:firstLine="4160" w:firstLineChars="1300"/>
        <w:rPr>
          <w:rFonts w:hint="eastAsia"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after="0"/>
        <w:ind w:right="1281" w:firstLine="3840" w:firstLineChars="1200"/>
        <w:textAlignment w:val="auto"/>
        <w:rPr>
          <w:rFonts w:ascii="Times New Roman" w:hAnsi="Times New Roman" w:cs="Times New Roman"/>
        </w:rPr>
      </w:pPr>
      <w:r>
        <w:rPr>
          <w:rFonts w:ascii="Times New Roman" w:hAnsi="Times New Roman" w:cs="Times New Roman"/>
        </w:rPr>
        <w:t>北京市发展和改革委员会</w:t>
      </w:r>
    </w:p>
    <w:p>
      <w:pPr>
        <w:keepNext w:val="0"/>
        <w:keepLines w:val="0"/>
        <w:pageBreakBefore w:val="0"/>
        <w:widowControl w:val="0"/>
        <w:kinsoku/>
        <w:wordWrap/>
        <w:overflowPunct/>
        <w:topLinePunct w:val="0"/>
        <w:autoSpaceDE/>
        <w:autoSpaceDN/>
        <w:bidi w:val="0"/>
        <w:adjustRightInd/>
        <w:snapToGrid/>
        <w:spacing w:after="0"/>
        <w:ind w:firstLine="4480" w:firstLineChars="1400"/>
        <w:textAlignment w:val="auto"/>
        <w:rPr>
          <w:rFonts w:hint="eastAsia" w:ascii="Times New Roman" w:hAnsi="Times New Roman" w:eastAsia="仿宋_GB2312" w:cs="Times New Roman"/>
          <w:lang w:val="en-US" w:eastAsia="zh-CN"/>
        </w:rPr>
      </w:pPr>
      <w:r>
        <w:rPr>
          <w:rFonts w:hint="eastAsia" w:ascii="仿宋_GB2312" w:hAnsi="仿宋_GB2312" w:eastAsia="仿宋_GB2312" w:cs="仿宋_GB2312"/>
        </w:rPr>
        <w:t>2026年</w:t>
      </w:r>
      <w:r>
        <w:rPr>
          <w:rFonts w:hint="eastAsia" w:cs="仿宋_GB2312"/>
          <w:lang w:val="en-US" w:eastAsia="zh-CN"/>
        </w:rPr>
        <w:t>7</w:t>
      </w:r>
      <w:r>
        <w:rPr>
          <w:rFonts w:hint="eastAsia" w:ascii="仿宋_GB2312" w:hAnsi="仿宋_GB2312" w:eastAsia="仿宋_GB2312" w:cs="仿宋_GB2312"/>
        </w:rPr>
        <w:t>月  日</w:t>
      </w:r>
    </w:p>
    <w:p>
      <w:pPr>
        <w:widowControl/>
        <w:spacing w:after="0"/>
        <w:ind w:firstLine="640"/>
        <w:jc w:val="left"/>
        <w:rPr>
          <w:rFonts w:ascii="Times New Roman" w:hAnsi="Times New Roman" w:eastAsia="方正楷体_GBK" w:cs="Times New Roman"/>
          <w:sz w:val="30"/>
          <w:szCs w:val="30"/>
        </w:rPr>
      </w:pPr>
      <w:r>
        <w:rPr>
          <w:rFonts w:ascii="Times New Roman" w:hAnsi="Times New Roman" w:cs="Times New Roman"/>
        </w:rPr>
        <w:br w:type="page"/>
      </w:r>
    </w:p>
    <w:p>
      <w:pPr>
        <w:pStyle w:val="3"/>
        <w:spacing w:after="0"/>
        <w:ind w:firstLine="0" w:firstLineChars="0"/>
        <w:rPr>
          <w:rFonts w:hint="eastAsia" w:ascii="黑体" w:hAnsi="黑体" w:eastAsia="黑体" w:cs="黑体"/>
        </w:rPr>
      </w:pPr>
      <w:r>
        <w:rPr>
          <w:rFonts w:hint="eastAsia" w:ascii="黑体" w:hAnsi="黑体" w:eastAsia="黑体" w:cs="黑体"/>
        </w:rPr>
        <w:t>附件</w:t>
      </w:r>
      <w:r>
        <w:rPr>
          <w:rFonts w:hint="eastAsia" w:ascii="Times New Roman" w:hAnsi="Times New Roman" w:cs="Times New Roman"/>
          <w:sz w:val="32"/>
          <w:szCs w:val="32"/>
        </w:rPr>
        <w:t>1</w:t>
      </w:r>
    </w:p>
    <w:p>
      <w:pPr>
        <w:pStyle w:val="3"/>
        <w:spacing w:after="0"/>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北京市零碳园区建设基本条件</w:t>
      </w:r>
    </w:p>
    <w:p>
      <w:pPr>
        <w:spacing w:after="0"/>
        <w:ind w:firstLine="640"/>
        <w:rPr>
          <w:rFonts w:ascii="Times New Roman" w:hAnsi="Times New Roman" w:cs="Times New Roman"/>
        </w:rPr>
      </w:pPr>
    </w:p>
    <w:p>
      <w:pPr>
        <w:spacing w:after="0"/>
        <w:ind w:firstLine="640"/>
        <w:rPr>
          <w:rFonts w:ascii="Times New Roman" w:hAnsi="Times New Roman" w:eastAsia="方正仿宋_GBK" w:cs="Times New Roman"/>
          <w:sz w:val="30"/>
          <w:szCs w:val="30"/>
        </w:rPr>
      </w:pPr>
      <w:r>
        <w:rPr>
          <w:rFonts w:ascii="Times New Roman" w:hAnsi="Times New Roman" w:cs="Times New Roman"/>
        </w:rPr>
        <w:t>零碳园区是指通过规划、设计、技术、管理等方式，使园区内生产生活活动产生的二氧化碳排放降至</w:t>
      </w:r>
      <w:r>
        <w:rPr>
          <w:rFonts w:hint="eastAsia" w:ascii="Times New Roman" w:hAnsi="Times New Roman" w:cs="Times New Roman"/>
        </w:rPr>
        <w:t>“</w:t>
      </w:r>
      <w:r>
        <w:rPr>
          <w:rFonts w:ascii="Times New Roman" w:hAnsi="Times New Roman" w:cs="Times New Roman"/>
        </w:rPr>
        <w:t>近零</w:t>
      </w:r>
      <w:r>
        <w:rPr>
          <w:rFonts w:hint="eastAsia" w:ascii="Times New Roman" w:hAnsi="Times New Roman" w:cs="Times New Roman"/>
        </w:rPr>
        <w:t>”</w:t>
      </w:r>
      <w:r>
        <w:rPr>
          <w:rFonts w:ascii="Times New Roman" w:hAnsi="Times New Roman" w:cs="Times New Roman"/>
        </w:rPr>
        <w:t>水平，并具备进一步达到</w:t>
      </w:r>
      <w:r>
        <w:rPr>
          <w:rFonts w:hint="eastAsia" w:ascii="Times New Roman" w:hAnsi="Times New Roman" w:cs="Times New Roman"/>
        </w:rPr>
        <w:t>“</w:t>
      </w:r>
      <w:r>
        <w:rPr>
          <w:rFonts w:ascii="Times New Roman" w:hAnsi="Times New Roman" w:cs="Times New Roman"/>
        </w:rPr>
        <w:t>净零</w:t>
      </w:r>
      <w:r>
        <w:rPr>
          <w:rFonts w:hint="eastAsia" w:ascii="Times New Roman" w:hAnsi="Times New Roman" w:cs="Times New Roman"/>
        </w:rPr>
        <w:t>”</w:t>
      </w:r>
      <w:r>
        <w:rPr>
          <w:rFonts w:ascii="Times New Roman" w:hAnsi="Times New Roman" w:cs="Times New Roman"/>
        </w:rPr>
        <w:t>条件的园区。</w:t>
      </w:r>
    </w:p>
    <w:p>
      <w:pPr>
        <w:spacing w:after="0"/>
        <w:ind w:firstLine="640"/>
        <w:rPr>
          <w:rFonts w:ascii="Times New Roman" w:hAnsi="Times New Roman" w:cs="Times New Roman"/>
        </w:rPr>
      </w:pPr>
      <w:r>
        <w:rPr>
          <w:rFonts w:ascii="Times New Roman" w:hAnsi="Times New Roman" w:cs="Times New Roman"/>
        </w:rPr>
        <w:t>一、原则上应列入最新版《中国开发区审核公告目录》，视情可拓展至近年来新建设的、由市/区人民政府或市级/区级主管部门批复的新兴产业园区、高新技术园区、两业融合园区</w:t>
      </w:r>
      <w:r>
        <w:rPr>
          <w:rFonts w:hint="eastAsia" w:ascii="Times New Roman" w:hAnsi="Times New Roman" w:cs="Times New Roman"/>
          <w:lang w:eastAsia="zh-CN"/>
        </w:rPr>
        <w:t>、特色产业园等</w:t>
      </w:r>
      <w:r>
        <w:rPr>
          <w:rFonts w:ascii="Times New Roman" w:hAnsi="Times New Roman" w:cs="Times New Roman"/>
        </w:rPr>
        <w:t>。</w:t>
      </w:r>
    </w:p>
    <w:p>
      <w:pPr>
        <w:spacing w:after="0"/>
        <w:ind w:firstLine="640"/>
        <w:rPr>
          <w:rFonts w:ascii="Times New Roman" w:hAnsi="Times New Roman" w:cs="Times New Roman"/>
        </w:rPr>
      </w:pPr>
      <w:r>
        <w:rPr>
          <w:rFonts w:ascii="Times New Roman" w:hAnsi="Times New Roman" w:cs="Times New Roman"/>
        </w:rPr>
        <w:t>二、建设范围可为园区整体，也可为</w:t>
      </w:r>
      <w:r>
        <w:rPr>
          <w:rFonts w:hint="eastAsia" w:ascii="Times New Roman" w:hAnsi="Times New Roman" w:cs="Times New Roman"/>
        </w:rPr>
        <w:t>“</w:t>
      </w:r>
      <w:r>
        <w:rPr>
          <w:rFonts w:ascii="Times New Roman" w:hAnsi="Times New Roman" w:cs="Times New Roman"/>
        </w:rPr>
        <w:t>园中园</w:t>
      </w:r>
      <w:r>
        <w:rPr>
          <w:rFonts w:hint="eastAsia" w:ascii="Times New Roman" w:hAnsi="Times New Roman" w:cs="Times New Roman"/>
        </w:rPr>
        <w:t>”</w:t>
      </w:r>
      <w:r>
        <w:rPr>
          <w:rFonts w:ascii="Times New Roman" w:hAnsi="Times New Roman" w:cs="Times New Roman"/>
        </w:rPr>
        <w:t>。以</w:t>
      </w:r>
      <w:r>
        <w:rPr>
          <w:rFonts w:hint="eastAsia" w:ascii="Times New Roman" w:hAnsi="Times New Roman" w:cs="Times New Roman"/>
        </w:rPr>
        <w:t>“</w:t>
      </w:r>
      <w:r>
        <w:rPr>
          <w:rFonts w:ascii="Times New Roman" w:hAnsi="Times New Roman" w:cs="Times New Roman"/>
        </w:rPr>
        <w:t>园中园</w:t>
      </w:r>
      <w:r>
        <w:rPr>
          <w:rFonts w:hint="eastAsia" w:ascii="Times New Roman" w:hAnsi="Times New Roman" w:cs="Times New Roman"/>
        </w:rPr>
        <w:t>”</w:t>
      </w:r>
      <w:r>
        <w:rPr>
          <w:rFonts w:ascii="Times New Roman" w:hAnsi="Times New Roman" w:cs="Times New Roman"/>
        </w:rPr>
        <w:t>形式申报的，需有明确的四至边界，建设和管理由所在园区管理机构或所在地人民政府负责。</w:t>
      </w:r>
    </w:p>
    <w:p>
      <w:pPr>
        <w:spacing w:after="0"/>
        <w:ind w:firstLine="640"/>
        <w:rPr>
          <w:rFonts w:hint="eastAsia" w:ascii="仿宋_GB2312" w:hAnsi="仿宋_GB2312" w:eastAsia="仿宋_GB2312" w:cs="仿宋_GB2312"/>
        </w:rPr>
      </w:pPr>
      <w:r>
        <w:rPr>
          <w:rFonts w:ascii="Times New Roman" w:hAnsi="Times New Roman" w:cs="Times New Roman"/>
        </w:rPr>
        <w:t>三、</w:t>
      </w:r>
      <w:r>
        <w:rPr>
          <w:rFonts w:hint="eastAsia" w:ascii="Times New Roman" w:hAnsi="Times New Roman" w:cs="Times New Roman"/>
          <w:lang w:eastAsia="zh-CN"/>
        </w:rPr>
        <w:t>以生产制造及配套生产性服务功能为主的园区，</w:t>
      </w:r>
      <w:r>
        <w:rPr>
          <w:rFonts w:hint="eastAsia" w:ascii="仿宋_GB2312" w:hAnsi="仿宋_GB2312" w:eastAsia="仿宋_GB2312" w:cs="仿宋_GB2312"/>
        </w:rPr>
        <w:t>年综合能源消费量不低于1万吨标准煤</w:t>
      </w:r>
      <w:r>
        <w:rPr>
          <w:rFonts w:hint="eastAsia" w:cs="仿宋_GB2312"/>
          <w:lang w:eastAsia="zh-CN"/>
        </w:rPr>
        <w:t>；以科技研发、文化创意、商务会展等功能为主的园区</w:t>
      </w:r>
      <w:r>
        <w:rPr>
          <w:rFonts w:hint="eastAsia" w:ascii="仿宋_GB2312" w:hAnsi="仿宋_GB2312" w:eastAsia="仿宋_GB2312" w:cs="仿宋_GB2312"/>
        </w:rPr>
        <w:t>年综合能源消费量不低于</w:t>
      </w:r>
      <w:r>
        <w:rPr>
          <w:rFonts w:hint="eastAsia" w:cs="仿宋_GB2312"/>
          <w:lang w:val="en-US" w:eastAsia="zh-CN"/>
        </w:rPr>
        <w:t>3000</w:t>
      </w:r>
      <w:r>
        <w:rPr>
          <w:rFonts w:hint="eastAsia" w:ascii="仿宋_GB2312" w:hAnsi="仿宋_GB2312" w:eastAsia="仿宋_GB2312" w:cs="仿宋_GB2312"/>
        </w:rPr>
        <w:t>吨标准煤。</w:t>
      </w:r>
    </w:p>
    <w:p>
      <w:pPr>
        <w:spacing w:after="0"/>
        <w:ind w:firstLine="640"/>
        <w:rPr>
          <w:rFonts w:hint="eastAsia" w:ascii="仿宋_GB2312" w:hAnsi="仿宋_GB2312" w:eastAsia="仿宋_GB2312" w:cs="仿宋_GB2312"/>
        </w:rPr>
      </w:pPr>
      <w:r>
        <w:rPr>
          <w:rFonts w:hint="eastAsia" w:ascii="仿宋_GB2312" w:hAnsi="仿宋_GB2312" w:eastAsia="仿宋_GB2312" w:cs="仿宋_GB2312"/>
        </w:rPr>
        <w:t>四、在能耗和碳排放统计、核算、监测等方面具备一定基础。</w:t>
      </w:r>
    </w:p>
    <w:p>
      <w:pPr>
        <w:spacing w:after="0"/>
        <w:ind w:firstLine="640"/>
        <w:rPr>
          <w:rFonts w:ascii="Times New Roman" w:hAnsi="Times New Roman" w:cs="Times New Roman"/>
        </w:rPr>
      </w:pPr>
      <w:r>
        <w:rPr>
          <w:rFonts w:hint="eastAsia" w:ascii="仿宋_GB2312" w:hAnsi="仿宋_GB2312" w:eastAsia="仿宋_GB2312" w:cs="仿宋_GB2312"/>
        </w:rPr>
        <w:t>五、3年内未发</w:t>
      </w:r>
      <w:r>
        <w:rPr>
          <w:rFonts w:ascii="Times New Roman" w:hAnsi="Times New Roman" w:cs="Times New Roman"/>
        </w:rPr>
        <w:t>生重大安全、环境事故，或其他社会不良影响事件。</w:t>
      </w:r>
    </w:p>
    <w:p>
      <w:pPr>
        <w:spacing w:after="0"/>
        <w:ind w:firstLine="600"/>
        <w:rPr>
          <w:rFonts w:ascii="Times New Roman" w:hAnsi="Times New Roman" w:eastAsia="方正仿宋_GBK" w:cs="Times New Roman"/>
          <w:sz w:val="30"/>
          <w:szCs w:val="30"/>
        </w:rPr>
      </w:pPr>
    </w:p>
    <w:p>
      <w:pPr>
        <w:widowControl/>
        <w:spacing w:after="0"/>
        <w:ind w:firstLine="640"/>
        <w:jc w:val="left"/>
        <w:rPr>
          <w:rFonts w:ascii="Times New Roman" w:hAnsi="Times New Roman" w:eastAsia="方正楷体_GBK" w:cs="Times New Roman"/>
          <w:sz w:val="30"/>
          <w:szCs w:val="30"/>
        </w:rPr>
      </w:pPr>
      <w:r>
        <w:rPr>
          <w:rFonts w:ascii="Times New Roman" w:hAnsi="Times New Roman" w:cs="Times New Roman"/>
        </w:rPr>
        <w:br w:type="page"/>
      </w:r>
    </w:p>
    <w:p>
      <w:pPr>
        <w:pStyle w:val="3"/>
        <w:spacing w:after="0"/>
        <w:ind w:firstLine="0" w:firstLineChars="0"/>
        <w:rPr>
          <w:rFonts w:ascii="Times New Roman" w:hAnsi="Times New Roman" w:cs="Times New Roman"/>
        </w:rPr>
      </w:pPr>
      <w:r>
        <w:rPr>
          <w:rFonts w:ascii="Times New Roman" w:hAnsi="Times New Roman" w:cs="Times New Roman"/>
        </w:rPr>
        <w:t>附件2</w:t>
      </w:r>
    </w:p>
    <w:p>
      <w:pPr>
        <w:pStyle w:val="3"/>
        <w:spacing w:after="0"/>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北京市零碳园区建设指标体系</w:t>
      </w:r>
    </w:p>
    <w:p>
      <w:pPr>
        <w:spacing w:after="0"/>
        <w:ind w:firstLine="600"/>
        <w:rPr>
          <w:rFonts w:ascii="Times New Roman" w:hAnsi="Times New Roman" w:eastAsia="方正仿宋_GBK" w:cs="Times New Roman"/>
          <w:sz w:val="30"/>
          <w:szCs w:val="30"/>
        </w:rPr>
      </w:pPr>
    </w:p>
    <w:p>
      <w:pPr>
        <w:spacing w:after="0"/>
        <w:ind w:firstLine="640"/>
        <w:rPr>
          <w:rFonts w:ascii="Times New Roman" w:hAnsi="Times New Roman" w:cs="Times New Roman"/>
        </w:rPr>
      </w:pPr>
      <w:r>
        <w:rPr>
          <w:rFonts w:ascii="Times New Roman" w:hAnsi="Times New Roman" w:cs="Times New Roman"/>
        </w:rPr>
        <w:t>参照《国家级零碳园区建设指标体系（试行）》，结合北京实际，建立包含核心指标与引导指标的市级零碳园区建设指标体系。</w:t>
      </w:r>
      <w:r>
        <w:rPr>
          <w:rFonts w:hint="eastAsia" w:ascii="仿宋_GB2312" w:hAnsi="仿宋_GB2312" w:eastAsia="仿宋_GB2312" w:cs="仿宋_GB2312"/>
        </w:rPr>
        <w:t>其中，核心指标为必须达到的目标，未达到核心指标要求的园区，原则上不得申请评价总结；引导指标在零碳园</w:t>
      </w:r>
      <w:r>
        <w:rPr>
          <w:rFonts w:ascii="Times New Roman" w:hAnsi="Times New Roman" w:cs="Times New Roman"/>
        </w:rPr>
        <w:t>区建设过程中发挥路径引导作用，是园区评价总结的参考指标。由于客观条件不具备开展相关工作的园区，可在申报材料中说明原因，相关指标将不纳入评价</w:t>
      </w:r>
      <w:r>
        <w:rPr>
          <w:rFonts w:hint="eastAsia" w:ascii="Times New Roman" w:hAnsi="Times New Roman" w:cs="Times New Roman"/>
        </w:rPr>
        <w:t>总体</w:t>
      </w:r>
      <w:r>
        <w:rPr>
          <w:rFonts w:ascii="Times New Roman" w:hAnsi="Times New Roman" w:cs="Times New Roman"/>
        </w:rPr>
        <w:t>要求。</w:t>
      </w:r>
    </w:p>
    <w:p>
      <w:pPr>
        <w:spacing w:before="156" w:beforeLines="50" w:after="156" w:afterLines="50"/>
        <w:ind w:firstLine="640"/>
        <w:jc w:val="center"/>
        <w:rPr>
          <w:rFonts w:hint="eastAsia" w:ascii="楷体_GB2312" w:hAnsi="Times New Roman" w:eastAsia="楷体_GB2312" w:cs="Times New Roman"/>
          <w:lang w:eastAsia="zh-CN"/>
        </w:rPr>
      </w:pPr>
      <w:r>
        <w:rPr>
          <w:rFonts w:hint="eastAsia" w:ascii="楷体_GB2312" w:hAnsi="Times New Roman" w:eastAsia="楷体_GB2312" w:cs="Times New Roman"/>
        </w:rPr>
        <w:t>表1</w:t>
      </w:r>
      <w:r>
        <w:rPr>
          <w:rFonts w:hint="eastAsia" w:ascii="楷体_GB2312" w:hAnsi="Times New Roman" w:eastAsia="楷体_GB2312" w:cs="Times New Roman"/>
          <w:lang w:eastAsia="zh-CN"/>
        </w:rPr>
        <w:t>北京市</w:t>
      </w:r>
      <w:r>
        <w:rPr>
          <w:rFonts w:hint="eastAsia" w:ascii="楷体_GB2312" w:hAnsi="Times New Roman" w:eastAsia="楷体_GB2312" w:cs="Times New Roman"/>
        </w:rPr>
        <w:t>零碳园区建设指标</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3586"/>
        <w:gridCol w:w="2198"/>
        <w:gridCol w:w="857"/>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blHeader/>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序号</w:t>
            </w:r>
          </w:p>
        </w:tc>
        <w:tc>
          <w:tcPr>
            <w:tcW w:w="1979" w:type="pct"/>
            <w:vAlign w:val="center"/>
          </w:tcPr>
          <w:p>
            <w:pPr>
              <w:widowControl/>
              <w:spacing w:after="0" w:line="240" w:lineRule="auto"/>
              <w:ind w:firstLine="0" w:firstLineChars="0"/>
              <w:jc w:val="center"/>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指标名称</w:t>
            </w:r>
          </w:p>
        </w:tc>
        <w:tc>
          <w:tcPr>
            <w:tcW w:w="1213" w:type="pct"/>
            <w:vAlign w:val="center"/>
          </w:tcPr>
          <w:p>
            <w:pPr>
              <w:widowControl/>
              <w:spacing w:after="0" w:line="240" w:lineRule="auto"/>
              <w:ind w:firstLine="0" w:firstLineChars="0"/>
              <w:jc w:val="center"/>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目标要求</w:t>
            </w:r>
          </w:p>
        </w:tc>
        <w:tc>
          <w:tcPr>
            <w:tcW w:w="473" w:type="pct"/>
            <w:vAlign w:val="center"/>
          </w:tcPr>
          <w:p>
            <w:pPr>
              <w:widowControl/>
              <w:spacing w:after="0" w:line="240" w:lineRule="auto"/>
              <w:ind w:firstLine="0" w:firstLineChars="0"/>
              <w:jc w:val="center"/>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指标类型</w:t>
            </w:r>
          </w:p>
        </w:tc>
        <w:tc>
          <w:tcPr>
            <w:tcW w:w="977" w:type="pct"/>
            <w:vAlign w:val="center"/>
          </w:tcPr>
          <w:p>
            <w:pPr>
              <w:widowControl/>
              <w:spacing w:after="0" w:line="240" w:lineRule="auto"/>
              <w:ind w:firstLine="0" w:firstLineChars="0"/>
              <w:jc w:val="center"/>
              <w:rPr>
                <w:rFonts w:hint="eastAsia" w:ascii="Times New Roman" w:hAnsi="Times New Roman" w:eastAsia="宋体" w:cs="Times New Roman"/>
                <w:b/>
                <w:bCs/>
                <w:color w:val="000000"/>
                <w:kern w:val="0"/>
                <w:sz w:val="24"/>
                <w:szCs w:val="24"/>
                <w:lang w:eastAsia="zh-CN"/>
              </w:rPr>
            </w:pPr>
            <w:r>
              <w:rPr>
                <w:rFonts w:hint="eastAsia" w:ascii="Times New Roman" w:hAnsi="Times New Roman" w:eastAsia="宋体" w:cs="Times New Roman"/>
                <w:b/>
                <w:bCs/>
                <w:color w:val="000000"/>
                <w:kern w:val="0"/>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356" w:type="pct"/>
            <w:vMerge w:val="restar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p>
        </w:tc>
        <w:tc>
          <w:tcPr>
            <w:tcW w:w="1979" w:type="pct"/>
            <w:vMerge w:val="restar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单位能耗碳排放</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≤0.2吨/吨标准煤</w:t>
            </w:r>
          </w:p>
        </w:tc>
        <w:tc>
          <w:tcPr>
            <w:tcW w:w="473" w:type="pct"/>
            <w:vMerge w:val="restar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核心指标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零碳园区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356" w:type="pct"/>
            <w:vMerge w:val="continue"/>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c>
          <w:tcPr>
            <w:tcW w:w="1979" w:type="pct"/>
            <w:vMerge w:val="continue"/>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≤0.4吨/吨标准煤</w:t>
            </w:r>
          </w:p>
        </w:tc>
        <w:tc>
          <w:tcPr>
            <w:tcW w:w="473" w:type="pct"/>
            <w:vMerge w:val="continue"/>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近零碳园区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单位产值</w:t>
            </w:r>
            <w:r>
              <w:rPr>
                <w:rFonts w:hint="eastAsia" w:ascii="Times New Roman" w:hAnsi="Times New Roman" w:eastAsia="宋体" w:cs="Times New Roman"/>
                <w:color w:val="000000"/>
                <w:kern w:val="0"/>
                <w:sz w:val="24"/>
                <w:szCs w:val="24"/>
                <w:highlight w:val="none"/>
                <w:lang w:val="en-US" w:eastAsia="zh-CN"/>
              </w:rPr>
              <w:t>/</w:t>
            </w:r>
            <w:r>
              <w:rPr>
                <w:rFonts w:hint="eastAsia" w:ascii="Times New Roman" w:hAnsi="Times New Roman" w:eastAsia="宋体" w:cs="Times New Roman"/>
                <w:color w:val="000000"/>
                <w:kern w:val="0"/>
                <w:sz w:val="24"/>
                <w:szCs w:val="24"/>
                <w:highlight w:val="none"/>
                <w:lang w:eastAsia="zh-CN"/>
              </w:rPr>
              <w:t>收入</w:t>
            </w:r>
            <w:r>
              <w:rPr>
                <w:rFonts w:ascii="Times New Roman" w:hAnsi="Times New Roman" w:eastAsia="宋体" w:cs="Times New Roman"/>
                <w:color w:val="000000"/>
                <w:kern w:val="0"/>
                <w:sz w:val="24"/>
                <w:szCs w:val="24"/>
                <w:highlight w:val="none"/>
              </w:rPr>
              <w:t>碳排放</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≤0.25吨/万元</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核心指标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非化石能源</w:t>
            </w:r>
            <w:r>
              <w:rPr>
                <w:rFonts w:hint="eastAsia" w:ascii="Times New Roman" w:hAnsi="Times New Roman" w:eastAsia="宋体" w:cs="Times New Roman"/>
                <w:color w:val="000000"/>
                <w:kern w:val="0"/>
                <w:sz w:val="24"/>
                <w:szCs w:val="24"/>
              </w:rPr>
              <w:t>占能源消费的比重</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r>
              <w:rPr>
                <w:rFonts w:hint="eastAsia" w:ascii="Times New Roman" w:hAnsi="Times New Roman" w:eastAsia="宋体" w:cs="Times New Roman"/>
                <w:color w:val="000000"/>
                <w:kern w:val="0"/>
                <w:sz w:val="24"/>
                <w:szCs w:val="24"/>
                <w:lang w:val="en-US" w:eastAsia="zh-CN"/>
              </w:rPr>
              <w:t>8</w:t>
            </w:r>
            <w:r>
              <w:rPr>
                <w:rFonts w:ascii="Times New Roman" w:hAnsi="Times New Roman" w:eastAsia="宋体" w:cs="Times New Roman"/>
                <w:color w:val="000000"/>
                <w:kern w:val="0"/>
                <w:sz w:val="24"/>
                <w:szCs w:val="24"/>
              </w:rPr>
              <w:t>0%</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4</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需求响应能力占年最大负荷比例</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w:t>
            </w:r>
          </w:p>
        </w:tc>
        <w:tc>
          <w:tcPr>
            <w:tcW w:w="1979"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highlight w:val="none"/>
                <w:lang w:eastAsia="zh-CN"/>
              </w:rPr>
            </w:pPr>
            <w:r>
              <w:rPr>
                <w:rFonts w:ascii="Times New Roman" w:hAnsi="Times New Roman" w:eastAsia="宋体" w:cs="Times New Roman"/>
                <w:color w:val="000000"/>
                <w:kern w:val="0"/>
                <w:sz w:val="24"/>
                <w:szCs w:val="24"/>
                <w:highlight w:val="none"/>
              </w:rPr>
              <w:t>零碳</w:t>
            </w:r>
            <w:r>
              <w:rPr>
                <w:rFonts w:hint="eastAsia" w:ascii="Times New Roman" w:hAnsi="Times New Roman" w:eastAsia="宋体" w:cs="Times New Roman"/>
                <w:color w:val="000000"/>
                <w:kern w:val="0"/>
                <w:sz w:val="24"/>
                <w:szCs w:val="24"/>
                <w:highlight w:val="none"/>
              </w:rPr>
              <w:t>能源</w:t>
            </w:r>
            <w:r>
              <w:rPr>
                <w:rFonts w:ascii="Times New Roman" w:hAnsi="Times New Roman" w:eastAsia="宋体" w:cs="Times New Roman"/>
                <w:color w:val="000000"/>
                <w:kern w:val="0"/>
                <w:sz w:val="24"/>
                <w:szCs w:val="24"/>
                <w:highlight w:val="none"/>
              </w:rPr>
              <w:t>供热</w:t>
            </w:r>
            <w:r>
              <w:rPr>
                <w:rFonts w:hint="eastAsia" w:ascii="Times New Roman" w:hAnsi="Times New Roman" w:eastAsia="宋体" w:cs="Times New Roman"/>
                <w:color w:val="000000"/>
                <w:kern w:val="0"/>
                <w:sz w:val="24"/>
                <w:szCs w:val="24"/>
                <w:highlight w:val="none"/>
                <w:lang w:val="en-US" w:eastAsia="zh-CN"/>
              </w:rPr>
              <w:t>/供冷</w:t>
            </w:r>
            <w:r>
              <w:rPr>
                <w:rFonts w:ascii="Times New Roman" w:hAnsi="Times New Roman" w:eastAsia="宋体" w:cs="Times New Roman"/>
                <w:color w:val="000000"/>
                <w:kern w:val="0"/>
                <w:sz w:val="24"/>
                <w:szCs w:val="24"/>
                <w:highlight w:val="none"/>
              </w:rPr>
              <w:t>覆盖率</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highlight w:val="none"/>
              </w:rPr>
              <w:t>≥90%</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余热/余冷/余压综合利用率</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≥60%</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highlight w:val="none"/>
                <w:lang w:eastAsia="zh-CN"/>
              </w:rPr>
              <w:t>适用于高端制造类园区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7</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可利用建筑屋顶光伏覆盖率</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r>
              <w:rPr>
                <w:rFonts w:hint="eastAsia" w:ascii="Times New Roman" w:hAnsi="Times New Roman" w:eastAsia="宋体" w:cs="Times New Roman"/>
                <w:color w:val="000000"/>
                <w:kern w:val="0"/>
                <w:sz w:val="24"/>
                <w:szCs w:val="24"/>
                <w:lang w:val="en-US" w:eastAsia="zh-CN"/>
              </w:rPr>
              <w:t>100</w:t>
            </w:r>
            <w:r>
              <w:rPr>
                <w:rFonts w:ascii="Times New Roman" w:hAnsi="Times New Roman" w:eastAsia="宋体" w:cs="Times New Roman"/>
                <w:color w:val="000000"/>
                <w:kern w:val="0"/>
                <w:sz w:val="24"/>
                <w:szCs w:val="24"/>
              </w:rPr>
              <w:t>%</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356"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8</w:t>
            </w:r>
          </w:p>
        </w:tc>
        <w:tc>
          <w:tcPr>
            <w:tcW w:w="1979"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highlight w:val="none"/>
                <w:lang w:eastAsia="zh-CN"/>
              </w:rPr>
            </w:pPr>
            <w:r>
              <w:rPr>
                <w:rFonts w:hint="eastAsia" w:ascii="Times New Roman" w:hAnsi="Times New Roman" w:eastAsia="宋体" w:cs="Times New Roman"/>
                <w:color w:val="000000"/>
                <w:kern w:val="0"/>
                <w:sz w:val="24"/>
                <w:szCs w:val="24"/>
                <w:highlight w:val="none"/>
                <w:lang w:eastAsia="zh-CN"/>
              </w:rPr>
              <w:t>园区新建建筑光伏一体</w:t>
            </w:r>
            <w:r>
              <w:rPr>
                <w:rFonts w:hint="eastAsia" w:ascii="仿宋_GB2312" w:hAnsi="仿宋_GB2312" w:eastAsia="仿宋_GB2312" w:cs="仿宋_GB2312"/>
                <w:color w:val="000000"/>
                <w:kern w:val="0"/>
                <w:sz w:val="24"/>
                <w:szCs w:val="24"/>
                <w:highlight w:val="none"/>
                <w:lang w:eastAsia="zh-CN"/>
              </w:rPr>
              <w:t>化（</w:t>
            </w:r>
            <w:r>
              <w:rPr>
                <w:rFonts w:hint="eastAsia" w:ascii="仿宋_GB2312" w:hAnsi="仿宋_GB2312" w:eastAsia="仿宋_GB2312" w:cs="仿宋_GB2312"/>
                <w:color w:val="000000"/>
                <w:kern w:val="0"/>
                <w:sz w:val="24"/>
                <w:szCs w:val="24"/>
                <w:highlight w:val="none"/>
                <w:lang w:val="en-US" w:eastAsia="zh-CN"/>
              </w:rPr>
              <w:t>BIPV</w:t>
            </w:r>
            <w:r>
              <w:rPr>
                <w:rFonts w:hint="eastAsia" w:ascii="仿宋_GB2312" w:hAnsi="仿宋_GB2312" w:eastAsia="仿宋_GB2312" w:cs="仿宋_GB2312"/>
                <w:color w:val="000000"/>
                <w:kern w:val="0"/>
                <w:sz w:val="24"/>
                <w:szCs w:val="24"/>
                <w:highlight w:val="none"/>
                <w:lang w:eastAsia="zh-CN"/>
              </w:rPr>
              <w:t>）应</w:t>
            </w:r>
            <w:r>
              <w:rPr>
                <w:rFonts w:hint="eastAsia" w:ascii="Times New Roman" w:hAnsi="Times New Roman" w:eastAsia="宋体" w:cs="Times New Roman"/>
                <w:color w:val="000000"/>
                <w:kern w:val="0"/>
                <w:sz w:val="24"/>
                <w:szCs w:val="24"/>
                <w:highlight w:val="none"/>
                <w:lang w:eastAsia="zh-CN"/>
              </w:rPr>
              <w:t>用达标率</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r>
              <w:rPr>
                <w:rFonts w:hint="eastAsia" w:ascii="Times New Roman" w:hAnsi="Times New Roman" w:eastAsia="宋体" w:cs="Times New Roman"/>
                <w:color w:val="000000"/>
                <w:kern w:val="0"/>
                <w:sz w:val="24"/>
                <w:szCs w:val="24"/>
                <w:lang w:val="en-US" w:eastAsia="zh-CN"/>
              </w:rPr>
              <w:t>5</w:t>
            </w:r>
            <w:r>
              <w:rPr>
                <w:rFonts w:ascii="Times New Roman" w:hAnsi="Times New Roman" w:eastAsia="宋体" w:cs="Times New Roman"/>
                <w:color w:val="000000"/>
                <w:kern w:val="0"/>
                <w:sz w:val="24"/>
                <w:szCs w:val="24"/>
              </w:rPr>
              <w:t>0%</w:t>
            </w:r>
          </w:p>
        </w:tc>
        <w:tc>
          <w:tcPr>
            <w:tcW w:w="473"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lang w:eastAsia="zh-CN"/>
              </w:rPr>
              <w:t>引导指标</w:t>
            </w:r>
          </w:p>
        </w:tc>
        <w:tc>
          <w:tcPr>
            <w:tcW w:w="977"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356"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lang w:val="en-US" w:eastAsia="zh-CN"/>
              </w:rPr>
              <w:t>9</w:t>
            </w:r>
          </w:p>
        </w:tc>
        <w:tc>
          <w:tcPr>
            <w:tcW w:w="1979"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highlight w:val="none"/>
                <w:lang w:eastAsia="zh-CN"/>
              </w:rPr>
            </w:pPr>
            <w:r>
              <w:rPr>
                <w:rFonts w:ascii="Times New Roman" w:hAnsi="Times New Roman" w:eastAsia="宋体" w:cs="Times New Roman"/>
                <w:color w:val="000000"/>
                <w:kern w:val="0"/>
                <w:sz w:val="24"/>
                <w:szCs w:val="24"/>
                <w:highlight w:val="none"/>
              </w:rPr>
              <w:t>园区</w:t>
            </w:r>
            <w:r>
              <w:rPr>
                <w:rFonts w:hint="eastAsia" w:ascii="Times New Roman" w:hAnsi="Times New Roman" w:eastAsia="宋体" w:cs="Times New Roman"/>
                <w:color w:val="000000"/>
                <w:kern w:val="0"/>
                <w:sz w:val="24"/>
                <w:szCs w:val="24"/>
                <w:highlight w:val="none"/>
                <w:lang w:eastAsia="zh-CN"/>
              </w:rPr>
              <w:t>公共服务新能源动力交通工具和非道路移动机械占比</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≥80%</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356" w:type="pct"/>
            <w:shd w:val="clear" w:color="auto" w:fill="auto"/>
            <w:vAlign w:val="center"/>
          </w:tcPr>
          <w:p>
            <w:pPr>
              <w:widowControl/>
              <w:spacing w:after="0" w:line="240" w:lineRule="auto"/>
              <w:ind w:firstLine="0" w:firstLineChars="0"/>
              <w:jc w:val="center"/>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rPr>
              <w:t>10</w:t>
            </w:r>
          </w:p>
        </w:tc>
        <w:tc>
          <w:tcPr>
            <w:tcW w:w="1979" w:type="pct"/>
            <w:shd w:val="clear" w:color="auto" w:fill="auto"/>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lang w:val="en-US" w:eastAsia="zh-CN"/>
              </w:rPr>
            </w:pPr>
            <w:r>
              <w:rPr>
                <w:rFonts w:ascii="Times New Roman" w:hAnsi="Times New Roman" w:eastAsia="宋体" w:cs="Times New Roman"/>
                <w:color w:val="000000"/>
                <w:kern w:val="0"/>
                <w:sz w:val="24"/>
                <w:szCs w:val="24"/>
              </w:rPr>
              <w:t>停车场新能源补能设施配置率</w:t>
            </w:r>
          </w:p>
        </w:tc>
        <w:tc>
          <w:tcPr>
            <w:tcW w:w="1213" w:type="pct"/>
            <w:shd w:val="clear" w:color="auto" w:fill="auto"/>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szCs w:val="24"/>
              </w:rPr>
              <w:t>≥</w:t>
            </w:r>
            <w:r>
              <w:rPr>
                <w:rFonts w:hint="eastAsia" w:ascii="Times New Roman" w:hAnsi="Times New Roman" w:eastAsia="宋体" w:cs="Times New Roman"/>
                <w:color w:val="000000"/>
                <w:kern w:val="0"/>
                <w:sz w:val="24"/>
                <w:szCs w:val="24"/>
                <w:lang w:val="en-US" w:eastAsia="zh-CN"/>
              </w:rPr>
              <w:t>30</w:t>
            </w:r>
            <w:r>
              <w:rPr>
                <w:rFonts w:ascii="Times New Roman" w:hAnsi="Times New Roman" w:eastAsia="宋体" w:cs="Times New Roman"/>
                <w:color w:val="000000"/>
                <w:kern w:val="0"/>
                <w:sz w:val="24"/>
                <w:szCs w:val="24"/>
              </w:rPr>
              <w:t>%</w:t>
            </w:r>
          </w:p>
        </w:tc>
        <w:tc>
          <w:tcPr>
            <w:tcW w:w="473" w:type="pct"/>
            <w:shd w:val="clear" w:color="auto" w:fill="auto"/>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szCs w:val="24"/>
              </w:rPr>
              <w:t>引导指标</w:t>
            </w:r>
          </w:p>
        </w:tc>
        <w:tc>
          <w:tcPr>
            <w:tcW w:w="977" w:type="pct"/>
            <w:shd w:val="clear" w:color="auto" w:fill="auto"/>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1</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是否建设园区级能碳管理平台</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是</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2</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绿色技术应用场景个数</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≥5</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3</w:t>
            </w:r>
          </w:p>
        </w:tc>
        <w:tc>
          <w:tcPr>
            <w:tcW w:w="1979" w:type="pct"/>
            <w:vAlign w:val="center"/>
          </w:tcPr>
          <w:p>
            <w:pPr>
              <w:widowControl/>
              <w:spacing w:after="0" w:line="240" w:lineRule="auto"/>
              <w:ind w:firstLine="0" w:firstLineChars="0"/>
              <w:jc w:val="center"/>
              <w:rPr>
                <w:rFonts w:hint="eastAsia" w:ascii="Times New Roman" w:hAnsi="Times New Roman" w:eastAsia="宋体" w:cs="Times New Roman"/>
                <w:color w:val="000000"/>
                <w:kern w:val="0"/>
                <w:sz w:val="24"/>
                <w:szCs w:val="24"/>
                <w:highlight w:val="none"/>
                <w:lang w:eastAsia="zh-CN"/>
              </w:rPr>
            </w:pPr>
            <w:r>
              <w:rPr>
                <w:rFonts w:ascii="Times New Roman" w:hAnsi="Times New Roman" w:eastAsia="宋体" w:cs="Times New Roman"/>
                <w:color w:val="000000"/>
                <w:kern w:val="0"/>
                <w:sz w:val="24"/>
                <w:szCs w:val="24"/>
                <w:highlight w:val="none"/>
              </w:rPr>
              <w:t>绿色工厂、绿色供应链企业占比</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highlight w:val="none"/>
                <w:lang w:eastAsia="zh-CN"/>
              </w:rPr>
              <w:t>适用于高端制造类园区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356"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4</w:t>
            </w:r>
          </w:p>
        </w:tc>
        <w:tc>
          <w:tcPr>
            <w:tcW w:w="1979"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highlight w:val="none"/>
              </w:rPr>
            </w:pPr>
            <w:r>
              <w:rPr>
                <w:rFonts w:ascii="Times New Roman" w:hAnsi="Times New Roman" w:eastAsia="宋体" w:cs="Times New Roman"/>
                <w:color w:val="000000"/>
                <w:kern w:val="0"/>
                <w:sz w:val="24"/>
                <w:szCs w:val="24"/>
                <w:highlight w:val="none"/>
              </w:rPr>
              <w:t>园区开展产品</w:t>
            </w:r>
            <w:r>
              <w:rPr>
                <w:rFonts w:hint="eastAsia" w:ascii="Times New Roman" w:hAnsi="Times New Roman" w:eastAsia="宋体" w:cs="Times New Roman"/>
                <w:color w:val="000000"/>
                <w:kern w:val="0"/>
                <w:sz w:val="24"/>
                <w:szCs w:val="24"/>
                <w:highlight w:val="none"/>
                <w:lang w:eastAsia="zh-CN"/>
              </w:rPr>
              <w:t>（含服务类产品）</w:t>
            </w:r>
            <w:r>
              <w:rPr>
                <w:rFonts w:ascii="Times New Roman" w:hAnsi="Times New Roman" w:eastAsia="宋体" w:cs="Times New Roman"/>
                <w:color w:val="000000"/>
                <w:kern w:val="0"/>
                <w:sz w:val="24"/>
                <w:szCs w:val="24"/>
                <w:highlight w:val="none"/>
              </w:rPr>
              <w:t>碳足迹核算评价或标识认证的企业覆盖率</w:t>
            </w:r>
          </w:p>
        </w:tc>
        <w:tc>
          <w:tcPr>
            <w:tcW w:w="121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≥80%</w:t>
            </w:r>
          </w:p>
        </w:tc>
        <w:tc>
          <w:tcPr>
            <w:tcW w:w="473"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引导指标</w:t>
            </w:r>
          </w:p>
        </w:tc>
        <w:tc>
          <w:tcPr>
            <w:tcW w:w="977" w:type="pct"/>
            <w:vAlign w:val="center"/>
          </w:tcPr>
          <w:p>
            <w:pPr>
              <w:widowControl/>
              <w:spacing w:after="0" w:line="240" w:lineRule="auto"/>
              <w:ind w:firstLine="0" w:firstLineChars="0"/>
              <w:jc w:val="center"/>
              <w:rPr>
                <w:rFonts w:ascii="Times New Roman" w:hAnsi="Times New Roman" w:eastAsia="宋体" w:cs="Times New Roman"/>
                <w:color w:val="000000"/>
                <w:kern w:val="0"/>
                <w:sz w:val="24"/>
                <w:szCs w:val="24"/>
              </w:rPr>
            </w:pPr>
          </w:p>
        </w:tc>
      </w:tr>
    </w:tbl>
    <w:p>
      <w:pPr>
        <w:spacing w:after="0"/>
        <w:ind w:firstLine="640"/>
        <w:rPr>
          <w:rFonts w:ascii="Times New Roman" w:hAnsi="Times New Roman" w:cs="Times New Roman"/>
        </w:rPr>
      </w:pPr>
    </w:p>
    <w:p>
      <w:pPr>
        <w:spacing w:after="0"/>
        <w:ind w:firstLine="643"/>
        <w:rPr>
          <w:rFonts w:ascii="Times New Roman" w:hAnsi="Times New Roman" w:cs="Times New Roman"/>
          <w:b/>
        </w:rPr>
      </w:pPr>
      <w:r>
        <w:rPr>
          <w:rFonts w:ascii="Times New Roman" w:hAnsi="Times New Roman" w:cs="Times New Roman"/>
          <w:b/>
        </w:rPr>
        <w:t>指标释义：</w:t>
      </w:r>
    </w:p>
    <w:p>
      <w:pPr>
        <w:numPr>
          <w:ilvl w:val="0"/>
          <w:numId w:val="1"/>
        </w:numPr>
        <w:spacing w:after="0"/>
        <w:ind w:firstLine="640"/>
        <w:rPr>
          <w:rFonts w:ascii="Times New Roman" w:hAnsi="Times New Roman" w:cs="Times New Roman"/>
        </w:rPr>
      </w:pPr>
      <w:r>
        <w:rPr>
          <w:rFonts w:ascii="Times New Roman" w:hAnsi="Times New Roman" w:cs="Times New Roman"/>
        </w:rPr>
        <w:t>单位能耗碳排放：指园区范围内每消费一吨标准煤产生的碳排放量。本通知所称碳排放仅指二氧化碳排放，不含非二氧化碳温室气体。</w:t>
      </w:r>
    </w:p>
    <w:p>
      <w:pPr>
        <w:numPr>
          <w:ilvl w:val="0"/>
          <w:numId w:val="1"/>
        </w:numPr>
        <w:spacing w:after="0"/>
        <w:ind w:firstLine="640"/>
        <w:rPr>
          <w:rFonts w:ascii="Times New Roman" w:hAnsi="Times New Roman" w:cs="Times New Roman"/>
        </w:rPr>
      </w:pPr>
      <w:r>
        <w:rPr>
          <w:rFonts w:ascii="Times New Roman" w:hAnsi="Times New Roman" w:cs="Times New Roman"/>
        </w:rPr>
        <w:t>单位产值</w:t>
      </w:r>
      <w:r>
        <w:rPr>
          <w:rFonts w:hint="eastAsia" w:ascii="Times New Roman" w:hAnsi="Times New Roman" w:cs="Times New Roman"/>
          <w:lang w:val="en-US" w:eastAsia="zh-CN"/>
        </w:rPr>
        <w:t>/收入</w:t>
      </w:r>
      <w:r>
        <w:rPr>
          <w:rFonts w:ascii="Times New Roman" w:hAnsi="Times New Roman" w:cs="Times New Roman"/>
        </w:rPr>
        <w:t>碳排放：指园区单位产值</w:t>
      </w:r>
      <w:r>
        <w:rPr>
          <w:rFonts w:hint="eastAsia" w:ascii="Times New Roman" w:hAnsi="Times New Roman" w:cs="Times New Roman"/>
          <w:lang w:val="en-US" w:eastAsia="zh-CN"/>
        </w:rPr>
        <w:t>/营收</w:t>
      </w:r>
      <w:r>
        <w:rPr>
          <w:rFonts w:ascii="Times New Roman" w:hAnsi="Times New Roman" w:cs="Times New Roman"/>
        </w:rPr>
        <w:t>的二氧化碳排放量。</w:t>
      </w:r>
    </w:p>
    <w:p>
      <w:pPr>
        <w:numPr>
          <w:ilvl w:val="0"/>
          <w:numId w:val="1"/>
        </w:numPr>
        <w:spacing w:after="0"/>
        <w:ind w:firstLine="640"/>
        <w:rPr>
          <w:rFonts w:ascii="Times New Roman" w:hAnsi="Times New Roman" w:cs="Times New Roman"/>
        </w:rPr>
      </w:pPr>
      <w:r>
        <w:rPr>
          <w:rFonts w:ascii="Times New Roman" w:hAnsi="Times New Roman" w:cs="Times New Roman"/>
        </w:rPr>
        <w:t>非化石能源</w:t>
      </w:r>
      <w:r>
        <w:rPr>
          <w:rFonts w:hint="eastAsia" w:ascii="Times New Roman" w:hAnsi="Times New Roman" w:cs="Times New Roman"/>
        </w:rPr>
        <w:t>占能源消费的比重</w:t>
      </w:r>
      <w:r>
        <w:rPr>
          <w:rFonts w:ascii="Times New Roman" w:hAnsi="Times New Roman" w:cs="Times New Roman"/>
        </w:rPr>
        <w:t>：指园区的非化石能源（含多年期可溯源绿电交易）消费量，包括核电、风能、水能、太阳能、生物质能、地热能</w:t>
      </w:r>
      <w:r>
        <w:rPr>
          <w:rFonts w:hint="eastAsia" w:ascii="Times New Roman" w:hAnsi="Times New Roman" w:cs="Times New Roman"/>
          <w:lang w:eastAsia="zh-CN"/>
        </w:rPr>
        <w:t>、空气能</w:t>
      </w:r>
      <w:r>
        <w:rPr>
          <w:rFonts w:ascii="Times New Roman" w:hAnsi="Times New Roman" w:cs="Times New Roman"/>
        </w:rPr>
        <w:t>等非化石能源和通过多年期、可溯源认证交易购入的绿色电力消费量，占园区年综合能源消费总量的比例。</w:t>
      </w:r>
    </w:p>
    <w:p>
      <w:pPr>
        <w:numPr>
          <w:ilvl w:val="0"/>
          <w:numId w:val="1"/>
        </w:numPr>
        <w:spacing w:after="0"/>
        <w:ind w:firstLine="640"/>
        <w:rPr>
          <w:rFonts w:ascii="Times New Roman" w:hAnsi="Times New Roman" w:cs="Times New Roman"/>
        </w:rPr>
      </w:pPr>
      <w:r>
        <w:rPr>
          <w:rFonts w:ascii="Times New Roman" w:hAnsi="Times New Roman" w:cs="Times New Roman"/>
        </w:rPr>
        <w:t>需求响应能力占年最大负荷比例：指园区可参与电网调度、主动调节的负荷柔性资源规模，占园区年度用电最大负荷的比值。</w:t>
      </w:r>
    </w:p>
    <w:p>
      <w:pPr>
        <w:numPr>
          <w:ilvl w:val="0"/>
          <w:numId w:val="1"/>
        </w:numPr>
        <w:spacing w:after="0"/>
        <w:ind w:firstLine="640"/>
        <w:rPr>
          <w:rFonts w:ascii="Times New Roman" w:hAnsi="Times New Roman" w:cs="Times New Roman"/>
        </w:rPr>
      </w:pPr>
      <w:r>
        <w:rPr>
          <w:rFonts w:ascii="Times New Roman" w:hAnsi="Times New Roman" w:cs="Times New Roman"/>
        </w:rPr>
        <w:t>零碳</w:t>
      </w:r>
      <w:r>
        <w:rPr>
          <w:rFonts w:hint="eastAsia" w:ascii="Times New Roman" w:hAnsi="Times New Roman" w:cs="Times New Roman"/>
        </w:rPr>
        <w:t>能源</w:t>
      </w:r>
      <w:r>
        <w:rPr>
          <w:rFonts w:ascii="Times New Roman" w:hAnsi="Times New Roman" w:cs="Times New Roman"/>
        </w:rPr>
        <w:t>供热</w:t>
      </w:r>
      <w:r>
        <w:rPr>
          <w:rFonts w:hint="eastAsia" w:ascii="Times New Roman" w:hAnsi="Times New Roman" w:cs="Times New Roman"/>
          <w:lang w:val="en-US" w:eastAsia="zh-CN"/>
        </w:rPr>
        <w:t>/供冷</w:t>
      </w:r>
      <w:r>
        <w:rPr>
          <w:rFonts w:ascii="Times New Roman" w:hAnsi="Times New Roman" w:cs="Times New Roman"/>
        </w:rPr>
        <w:t>覆盖率：指园区内热泵、各类可再生能源及回收利用工业余热等零碳热源供热量</w:t>
      </w:r>
      <w:r>
        <w:rPr>
          <w:rFonts w:hint="eastAsia" w:ascii="Times New Roman" w:hAnsi="Times New Roman" w:cs="Times New Roman"/>
          <w:lang w:val="en-US" w:eastAsia="zh-CN"/>
        </w:rPr>
        <w:t>/冰</w:t>
      </w:r>
      <w:r>
        <w:rPr>
          <w:rFonts w:hint="eastAsia" w:ascii="Times New Roman" w:hAnsi="Times New Roman" w:cs="Times New Roman"/>
        </w:rPr>
        <w:t>蓄冷</w:t>
      </w:r>
      <w:r>
        <w:rPr>
          <w:rFonts w:hint="eastAsia" w:ascii="Times New Roman" w:hAnsi="Times New Roman" w:cs="Times New Roman"/>
          <w:lang w:eastAsia="zh-CN"/>
        </w:rPr>
        <w:t>、水</w:t>
      </w:r>
      <w:r>
        <w:rPr>
          <w:rFonts w:hint="eastAsia" w:ascii="Times New Roman" w:hAnsi="Times New Roman" w:cs="Times New Roman"/>
        </w:rPr>
        <w:t>蓄</w:t>
      </w:r>
      <w:r>
        <w:rPr>
          <w:rFonts w:hint="eastAsia" w:ascii="Times New Roman" w:hAnsi="Times New Roman" w:cs="Times New Roman"/>
          <w:lang w:eastAsia="zh-CN"/>
        </w:rPr>
        <w:t>冷等</w:t>
      </w:r>
      <w:r>
        <w:rPr>
          <w:rFonts w:hint="eastAsia" w:ascii="Times New Roman" w:hAnsi="Times New Roman" w:cs="Times New Roman"/>
        </w:rPr>
        <w:t>低碳供冷技术提供的</w:t>
      </w:r>
      <w:r>
        <w:rPr>
          <w:rFonts w:hint="eastAsia" w:ascii="Times New Roman" w:hAnsi="Times New Roman" w:cs="Times New Roman"/>
          <w:lang w:eastAsia="zh-CN"/>
        </w:rPr>
        <w:t>供冷</w:t>
      </w:r>
      <w:r>
        <w:rPr>
          <w:rFonts w:hint="eastAsia" w:ascii="Times New Roman" w:hAnsi="Times New Roman" w:cs="Times New Roman"/>
        </w:rPr>
        <w:t>量</w:t>
      </w:r>
      <w:r>
        <w:rPr>
          <w:rFonts w:ascii="Times New Roman" w:hAnsi="Times New Roman" w:cs="Times New Roman"/>
        </w:rPr>
        <w:t>，占园区</w:t>
      </w:r>
      <w:r>
        <w:rPr>
          <w:rFonts w:hint="eastAsia" w:ascii="Times New Roman" w:hAnsi="Times New Roman" w:cs="Times New Roman"/>
          <w:lang w:eastAsia="zh-CN"/>
        </w:rPr>
        <w:t>生活</w:t>
      </w:r>
      <w:r>
        <w:rPr>
          <w:rFonts w:ascii="Times New Roman" w:hAnsi="Times New Roman" w:cs="Times New Roman"/>
        </w:rPr>
        <w:t>供热</w:t>
      </w:r>
      <w:r>
        <w:rPr>
          <w:rFonts w:hint="eastAsia" w:ascii="Times New Roman" w:hAnsi="Times New Roman" w:cs="Times New Roman"/>
          <w:lang w:val="en-US" w:eastAsia="zh-CN"/>
        </w:rPr>
        <w:t>/供冷总量</w:t>
      </w:r>
      <w:r>
        <w:rPr>
          <w:rFonts w:ascii="Times New Roman" w:hAnsi="Times New Roman" w:cs="Times New Roman"/>
        </w:rPr>
        <w:t>的比重。</w:t>
      </w:r>
    </w:p>
    <w:p>
      <w:pPr>
        <w:numPr>
          <w:ilvl w:val="0"/>
          <w:numId w:val="1"/>
        </w:numPr>
        <w:spacing w:after="0"/>
        <w:ind w:firstLine="640"/>
        <w:rPr>
          <w:rFonts w:ascii="Times New Roman" w:hAnsi="Times New Roman" w:cs="Times New Roman"/>
        </w:rPr>
      </w:pPr>
      <w:r>
        <w:rPr>
          <w:rFonts w:ascii="Times New Roman" w:hAnsi="Times New Roman" w:cs="Times New Roman"/>
        </w:rPr>
        <w:t>余热/余冷/余压综合利用率：指园区热能、冷能和压力能综合利用率的加权平均值，用于衡量生产过程中对热能、冷能和压力能的回收利用程度。</w:t>
      </w:r>
    </w:p>
    <w:p>
      <w:pPr>
        <w:numPr>
          <w:ilvl w:val="0"/>
          <w:numId w:val="1"/>
        </w:numPr>
        <w:spacing w:after="0"/>
        <w:ind w:firstLine="640"/>
        <w:rPr>
          <w:rFonts w:ascii="Times New Roman" w:hAnsi="Times New Roman" w:cs="Times New Roman"/>
        </w:rPr>
      </w:pPr>
      <w:r>
        <w:rPr>
          <w:rFonts w:ascii="Times New Roman" w:hAnsi="Times New Roman" w:cs="Times New Roman"/>
        </w:rPr>
        <w:t>可利用建筑屋顶光伏覆盖率：指园区已覆盖光伏的建筑屋顶面积与园区</w:t>
      </w:r>
      <w:r>
        <w:rPr>
          <w:rFonts w:hint="eastAsia" w:ascii="Times New Roman" w:hAnsi="Times New Roman" w:cs="Times New Roman"/>
          <w:lang w:eastAsia="zh-CN"/>
        </w:rPr>
        <w:t>规划上</w:t>
      </w:r>
      <w:r>
        <w:rPr>
          <w:rFonts w:ascii="Times New Roman" w:hAnsi="Times New Roman" w:cs="Times New Roman"/>
        </w:rPr>
        <w:t>可利用建设光伏的建筑屋顶面积的比值。</w:t>
      </w:r>
    </w:p>
    <w:p>
      <w:pPr>
        <w:numPr>
          <w:ilvl w:val="0"/>
          <w:numId w:val="1"/>
        </w:numPr>
        <w:spacing w:after="0"/>
        <w:ind w:firstLine="640"/>
        <w:rPr>
          <w:rFonts w:ascii="Times New Roman" w:hAnsi="Times New Roman" w:cs="Times New Roman"/>
        </w:rPr>
      </w:pPr>
      <w:r>
        <w:rPr>
          <w:rFonts w:hint="eastAsia" w:ascii="Times New Roman" w:hAnsi="Times New Roman" w:cs="Times New Roman"/>
          <w:highlight w:val="none"/>
        </w:rPr>
        <w:t>园区新建建筑光伏一体</w:t>
      </w:r>
      <w:r>
        <w:rPr>
          <w:rFonts w:hint="eastAsia" w:ascii="仿宋_GB2312" w:hAnsi="仿宋_GB2312" w:cs="仿宋_GB2312"/>
          <w:highlight w:val="none"/>
        </w:rPr>
        <w:t>化（BIPV）应用达标率</w:t>
      </w:r>
      <w:r>
        <w:rPr>
          <w:rFonts w:hint="eastAsia" w:ascii="仿宋_GB2312" w:hAnsi="仿宋_GB2312" w:cs="仿宋_GB2312"/>
          <w:lang w:eastAsia="zh-CN"/>
        </w:rPr>
        <w:t>：指</w:t>
      </w:r>
      <w:r>
        <w:rPr>
          <w:rFonts w:hint="eastAsia" w:cs="仿宋_GB2312"/>
          <w:lang w:eastAsia="zh-CN"/>
        </w:rPr>
        <w:t>建设期内</w:t>
      </w:r>
      <w:r>
        <w:rPr>
          <w:rFonts w:hint="eastAsia" w:ascii="仿宋_GB2312" w:hAnsi="仿宋_GB2312" w:cs="仿宋_GB2312"/>
        </w:rPr>
        <w:t>园区新建建筑中采用光伏一体化（BIPV）</w:t>
      </w:r>
      <w:r>
        <w:rPr>
          <w:rFonts w:hint="eastAsia" w:ascii="Times New Roman" w:hAnsi="Times New Roman" w:cs="Times New Roman"/>
        </w:rPr>
        <w:t>技术且满足规范达标要求的建筑面积，占园区全部新建建筑总建筑面积的百分比</w:t>
      </w:r>
      <w:r>
        <w:rPr>
          <w:rFonts w:hint="eastAsia" w:ascii="Times New Roman" w:hAnsi="Times New Roman" w:cs="Times New Roman"/>
          <w:lang w:eastAsia="zh-CN"/>
        </w:rPr>
        <w:t>。</w:t>
      </w:r>
    </w:p>
    <w:p>
      <w:pPr>
        <w:numPr>
          <w:ilvl w:val="0"/>
          <w:numId w:val="1"/>
        </w:numPr>
        <w:spacing w:after="0"/>
        <w:ind w:firstLine="640"/>
        <w:rPr>
          <w:rFonts w:ascii="Times New Roman" w:hAnsi="Times New Roman" w:cs="Times New Roman"/>
          <w:highlight w:val="none"/>
        </w:rPr>
      </w:pPr>
      <w:r>
        <w:rPr>
          <w:rFonts w:hint="eastAsia" w:ascii="Times New Roman" w:hAnsi="Times New Roman" w:cs="Times New Roman"/>
        </w:rPr>
        <w:t>园区公共服务新能源动力交通工具和非道路移动机械占比</w:t>
      </w:r>
      <w:r>
        <w:rPr>
          <w:rFonts w:hint="eastAsia" w:ascii="Times New Roman" w:hAnsi="Times New Roman" w:cs="Times New Roman"/>
          <w:highlight w:val="none"/>
          <w:lang w:eastAsia="zh-CN"/>
        </w:rPr>
        <w:t>：指在园区内行驶的、为园区人员和单位提供公共服务的车辆（如垃圾清运车、巡逻车、摆渡车）及非道路移动机械（如</w:t>
      </w:r>
      <w:r>
        <w:rPr>
          <w:rFonts w:hint="eastAsia" w:ascii="Times New Roman" w:hAnsi="Times New Roman" w:cs="Times New Roman"/>
          <w:highlight w:val="none"/>
        </w:rPr>
        <w:t>叉车、小型装载机</w:t>
      </w:r>
      <w:r>
        <w:rPr>
          <w:rFonts w:hint="eastAsia" w:ascii="Times New Roman" w:hAnsi="Times New Roman" w:cs="Times New Roman"/>
          <w:highlight w:val="none"/>
          <w:lang w:eastAsia="zh-CN"/>
        </w:rPr>
        <w:t>）中以电力、生物质能、氢能作为动力的数量占总数量的比例。</w:t>
      </w:r>
    </w:p>
    <w:p>
      <w:pPr>
        <w:numPr>
          <w:ilvl w:val="0"/>
          <w:numId w:val="1"/>
        </w:numPr>
        <w:spacing w:after="0"/>
        <w:ind w:firstLine="640"/>
        <w:rPr>
          <w:rFonts w:ascii="Times New Roman" w:hAnsi="Times New Roman" w:cs="Times New Roman"/>
        </w:rPr>
      </w:pPr>
      <w:r>
        <w:rPr>
          <w:rFonts w:hint="eastAsia" w:ascii="Times New Roman" w:hAnsi="Times New Roman" w:cs="Times New Roman"/>
        </w:rPr>
        <w:t>停车场新能源补能设施配置率：指园区内已建设或预留的新能源汽车补能设施（包括充换电设施、加氢（醇）设施等）接口数量占园区内规划停车位总数量的比例。</w:t>
      </w:r>
    </w:p>
    <w:p>
      <w:pPr>
        <w:numPr>
          <w:ilvl w:val="0"/>
          <w:numId w:val="1"/>
        </w:numPr>
        <w:spacing w:after="0"/>
        <w:ind w:firstLine="640"/>
        <w:rPr>
          <w:rFonts w:ascii="Times New Roman" w:hAnsi="Times New Roman" w:cs="Times New Roman"/>
        </w:rPr>
      </w:pPr>
      <w:r>
        <w:rPr>
          <w:rFonts w:ascii="Times New Roman" w:hAnsi="Times New Roman" w:cs="Times New Roman"/>
        </w:rPr>
        <w:t>是否建设</w:t>
      </w:r>
      <w:r>
        <w:rPr>
          <w:rFonts w:hint="eastAsia" w:ascii="Times New Roman" w:hAnsi="Times New Roman" w:cs="Times New Roman"/>
        </w:rPr>
        <w:t>园区</w:t>
      </w:r>
      <w:r>
        <w:rPr>
          <w:rFonts w:ascii="Times New Roman" w:hAnsi="Times New Roman" w:cs="Times New Roman"/>
        </w:rPr>
        <w:t>能碳管理平台：指园区是否建设具备能耗和碳排放数据采集、核算、分析、优化与管理等功能的</w:t>
      </w:r>
      <w:r>
        <w:rPr>
          <w:rFonts w:hint="eastAsia" w:ascii="Times New Roman" w:hAnsi="Times New Roman" w:cs="Times New Roman"/>
        </w:rPr>
        <w:t>综合性</w:t>
      </w:r>
      <w:r>
        <w:rPr>
          <w:rFonts w:ascii="Times New Roman" w:hAnsi="Times New Roman" w:cs="Times New Roman"/>
        </w:rPr>
        <w:t>数字化平台。</w:t>
      </w:r>
    </w:p>
    <w:p>
      <w:pPr>
        <w:numPr>
          <w:ilvl w:val="0"/>
          <w:numId w:val="1"/>
        </w:numPr>
        <w:spacing w:after="0"/>
        <w:ind w:firstLine="640"/>
        <w:rPr>
          <w:rFonts w:ascii="Times New Roman" w:hAnsi="Times New Roman" w:cs="Times New Roman"/>
          <w:highlight w:val="yellow"/>
        </w:rPr>
      </w:pPr>
      <w:r>
        <w:rPr>
          <w:rFonts w:ascii="Times New Roman" w:hAnsi="Times New Roman" w:cs="Times New Roman"/>
        </w:rPr>
        <w:t>绿色技术应用场景个数：指园区绿色新技术、新产品、新模式应用场景项目的数量，包括但不限于清洁能源、储能、碳捕集利用与封存、零碳建筑等领域。</w:t>
      </w:r>
    </w:p>
    <w:p>
      <w:pPr>
        <w:numPr>
          <w:ilvl w:val="0"/>
          <w:numId w:val="1"/>
        </w:numPr>
        <w:spacing w:after="0"/>
        <w:ind w:firstLine="640"/>
        <w:rPr>
          <w:rFonts w:ascii="Times New Roman" w:hAnsi="Times New Roman" w:cs="Times New Roman"/>
          <w:highlight w:val="yellow"/>
        </w:rPr>
      </w:pPr>
      <w:r>
        <w:rPr>
          <w:rFonts w:ascii="Times New Roman" w:hAnsi="Times New Roman" w:cs="Times New Roman"/>
        </w:rPr>
        <w:t>绿色工厂、绿色供应链企业占比：指获评市级及以上绿色工厂、绿色供应链企业数量</w:t>
      </w:r>
      <w:r>
        <w:rPr>
          <w:rFonts w:hint="eastAsia" w:ascii="Times New Roman" w:hAnsi="Times New Roman" w:cs="Times New Roman"/>
          <w:lang w:eastAsia="zh-CN"/>
        </w:rPr>
        <w:t>（不重复计算）</w:t>
      </w:r>
      <w:r>
        <w:rPr>
          <w:rFonts w:ascii="Times New Roman" w:hAnsi="Times New Roman" w:cs="Times New Roman"/>
        </w:rPr>
        <w:t>占园区</w:t>
      </w:r>
      <w:r>
        <w:rPr>
          <w:rFonts w:hint="eastAsia" w:ascii="Times New Roman" w:hAnsi="Times New Roman" w:cs="Times New Roman"/>
          <w:lang w:eastAsia="zh-CN"/>
        </w:rPr>
        <w:t>制造业</w:t>
      </w:r>
      <w:r>
        <w:rPr>
          <w:rFonts w:ascii="Times New Roman" w:hAnsi="Times New Roman" w:cs="Times New Roman"/>
        </w:rPr>
        <w:t>企业总数量的比例。</w:t>
      </w:r>
    </w:p>
    <w:p>
      <w:pPr>
        <w:numPr>
          <w:ilvl w:val="0"/>
          <w:numId w:val="1"/>
        </w:numPr>
        <w:spacing w:after="0"/>
        <w:ind w:firstLine="640"/>
        <w:rPr>
          <w:rFonts w:ascii="Times New Roman" w:hAnsi="Times New Roman" w:cs="Times New Roman"/>
        </w:rPr>
      </w:pPr>
      <w:r>
        <w:rPr>
          <w:rFonts w:ascii="Times New Roman" w:hAnsi="Times New Roman" w:cs="Times New Roman"/>
        </w:rPr>
        <w:t>园区开展产品</w:t>
      </w:r>
      <w:r>
        <w:rPr>
          <w:rFonts w:hint="eastAsia" w:ascii="Times New Roman" w:hAnsi="Times New Roman" w:cs="Times New Roman"/>
          <w:lang w:eastAsia="zh-CN"/>
        </w:rPr>
        <w:t>（含服务类产品）</w:t>
      </w:r>
      <w:r>
        <w:rPr>
          <w:rFonts w:ascii="Times New Roman" w:hAnsi="Times New Roman" w:cs="Times New Roman"/>
        </w:rPr>
        <w:t>碳足迹核算评价或标识认证的企业覆盖率：指委托第三方认证机构按照相关标准开展碳足迹核算评价或标识认证的企业数量占园区</w:t>
      </w:r>
      <w:r>
        <w:rPr>
          <w:rFonts w:hint="eastAsia" w:ascii="Times New Roman" w:hAnsi="Times New Roman" w:cs="Times New Roman"/>
        </w:rPr>
        <w:t>规模以上经营主体</w:t>
      </w:r>
      <w:r>
        <w:rPr>
          <w:rFonts w:ascii="Times New Roman" w:hAnsi="Times New Roman" w:cs="Times New Roman"/>
        </w:rPr>
        <w:t>总数量的比例。</w:t>
      </w:r>
    </w:p>
    <w:p>
      <w:pPr>
        <w:widowControl/>
        <w:spacing w:after="0"/>
        <w:ind w:firstLine="0" w:firstLineChars="0"/>
        <w:jc w:val="left"/>
        <w:rPr>
          <w:rFonts w:ascii="Times New Roman" w:hAnsi="Times New Roman" w:eastAsia="方正黑体_GBK" w:cs="Times New Roman"/>
        </w:rPr>
        <w:sectPr>
          <w:headerReference r:id="rId5" w:type="default"/>
          <w:footerReference r:id="rId6" w:type="default"/>
          <w:pgSz w:w="11906" w:h="16838"/>
          <w:pgMar w:top="2098" w:right="1474" w:bottom="1984" w:left="1587" w:header="851" w:footer="992" w:gutter="0"/>
          <w:cols w:space="425" w:num="1"/>
          <w:docGrid w:type="linesAndChars" w:linePitch="312" w:charSpace="0"/>
        </w:sectPr>
      </w:pPr>
    </w:p>
    <w:p>
      <w:pPr>
        <w:pStyle w:val="3"/>
        <w:spacing w:after="0"/>
        <w:ind w:firstLine="0" w:firstLineChars="0"/>
        <w:rPr>
          <w:rFonts w:ascii="Times New Roman" w:hAnsi="Times New Roman" w:cs="Times New Roman"/>
        </w:rPr>
      </w:pPr>
      <w:r>
        <w:rPr>
          <w:rFonts w:ascii="Times New Roman" w:hAnsi="Times New Roman" w:cs="Times New Roman"/>
        </w:rPr>
        <w:t>附件</w:t>
      </w:r>
      <w:r>
        <w:rPr>
          <w:rFonts w:ascii="Times New Roman" w:hAnsi="Times New Roman" w:cs="Times New Roman"/>
          <w:sz w:val="32"/>
          <w:szCs w:val="32"/>
        </w:rPr>
        <w:t>3</w:t>
      </w:r>
    </w:p>
    <w:p>
      <w:pPr>
        <w:pStyle w:val="3"/>
        <w:spacing w:after="0"/>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北京市零碳园区建设实施方案</w:t>
      </w:r>
    </w:p>
    <w:p>
      <w:pPr>
        <w:pStyle w:val="3"/>
        <w:spacing w:after="0"/>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编制大纲</w:t>
      </w:r>
    </w:p>
    <w:p>
      <w:pPr>
        <w:adjustRightInd w:val="0"/>
        <w:snapToGrid w:val="0"/>
        <w:spacing w:after="0"/>
        <w:ind w:firstLine="640"/>
        <w:rPr>
          <w:rFonts w:ascii="Times New Roman" w:hAnsi="Times New Roman" w:cs="Times New Roman"/>
        </w:rPr>
      </w:pP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一、建设基础</w:t>
      </w:r>
    </w:p>
    <w:p>
      <w:pPr>
        <w:adjustRightInd w:val="0"/>
        <w:snapToGrid w:val="0"/>
        <w:spacing w:after="0"/>
        <w:ind w:firstLine="640"/>
        <w:rPr>
          <w:rFonts w:ascii="Times New Roman" w:hAnsi="Times New Roman" w:cs="Times New Roman"/>
        </w:rPr>
      </w:pPr>
      <w:r>
        <w:rPr>
          <w:rFonts w:ascii="Times New Roman" w:hAnsi="Times New Roman" w:cs="Times New Roman"/>
        </w:rPr>
        <w:t>（一）园区基本情况。简述园区申报边界、建设主体、区位条件、规划布局、经济产业发展水平等基本情况。</w:t>
      </w:r>
    </w:p>
    <w:p>
      <w:pPr>
        <w:adjustRightInd w:val="0"/>
        <w:snapToGrid w:val="0"/>
        <w:spacing w:after="0"/>
        <w:ind w:firstLine="640"/>
        <w:rPr>
          <w:rFonts w:ascii="Times New Roman" w:hAnsi="Times New Roman" w:cs="Times New Roman"/>
        </w:rPr>
      </w:pPr>
      <w:r>
        <w:rPr>
          <w:rFonts w:ascii="Times New Roman" w:hAnsi="Times New Roman" w:cs="Times New Roman"/>
        </w:rPr>
        <w:t>（二）产业发展情况。简述园区主导产业、重点企业发展状况、已引入或规划中的重点项目及投资规模等产业发展情况。新建园区简述规划引入产业和招商引资情况。</w:t>
      </w:r>
    </w:p>
    <w:p>
      <w:pPr>
        <w:adjustRightInd w:val="0"/>
        <w:snapToGrid w:val="0"/>
        <w:spacing w:after="0"/>
        <w:ind w:firstLine="640"/>
        <w:rPr>
          <w:rFonts w:ascii="Times New Roman" w:hAnsi="Times New Roman" w:cs="Times New Roman"/>
        </w:rPr>
      </w:pPr>
      <w:r>
        <w:rPr>
          <w:rFonts w:ascii="Times New Roman" w:hAnsi="Times New Roman" w:cs="Times New Roman"/>
        </w:rPr>
        <w:t>（三）能源供应及消费情况。简述园区近三年分能源品种的能源供应与消费情况。能源供应部分应区分园区外购能源和自供能源，能源消费部分应区分用作燃料、用于能源加工转换及用作原料等用途。新建园区可不提供能源供应及消费现状。</w:t>
      </w:r>
    </w:p>
    <w:p>
      <w:pPr>
        <w:adjustRightInd w:val="0"/>
        <w:snapToGrid w:val="0"/>
        <w:spacing w:after="0"/>
        <w:ind w:firstLine="640"/>
        <w:rPr>
          <w:rFonts w:ascii="Times New Roman" w:hAnsi="Times New Roman" w:cs="Times New Roman"/>
        </w:rPr>
      </w:pPr>
      <w:r>
        <w:rPr>
          <w:rFonts w:ascii="Times New Roman" w:hAnsi="Times New Roman" w:cs="Times New Roman"/>
        </w:rPr>
        <w:t>（四）碳排放情况。对园区近三年碳排放进行测算分析，内容包括但不限于园区分年度碳排放量、单位能耗碳排放、碳排放结构等。新建园区可不提供历史碳排放情况。</w:t>
      </w: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二、建设北京市零碳园区的可行性分析</w:t>
      </w:r>
    </w:p>
    <w:p>
      <w:pPr>
        <w:adjustRightInd w:val="0"/>
        <w:snapToGrid w:val="0"/>
        <w:spacing w:after="0"/>
        <w:ind w:firstLine="640"/>
        <w:rPr>
          <w:rFonts w:ascii="Times New Roman" w:hAnsi="Times New Roman" w:cs="Times New Roman"/>
        </w:rPr>
      </w:pPr>
      <w:r>
        <w:rPr>
          <w:rFonts w:ascii="Times New Roman" w:hAnsi="Times New Roman" w:cs="Times New Roman"/>
        </w:rPr>
        <w:t>（一）园区能源消费与碳排放趋势。以园区能源消费、年度碳排放现状数据为基础，结合园区产业发展、重点企业产能变化、重点项目布局等情况，综合考虑零碳园区建设要求，测算分析园区未来能源消费和碳排放变化趋势。</w:t>
      </w:r>
    </w:p>
    <w:p>
      <w:pPr>
        <w:adjustRightInd w:val="0"/>
        <w:snapToGrid w:val="0"/>
        <w:spacing w:after="0"/>
        <w:ind w:firstLine="640"/>
        <w:rPr>
          <w:rFonts w:ascii="Times New Roman" w:hAnsi="Times New Roman" w:cs="Times New Roman"/>
        </w:rPr>
      </w:pPr>
      <w:r>
        <w:rPr>
          <w:rFonts w:ascii="Times New Roman" w:hAnsi="Times New Roman" w:cs="Times New Roman"/>
        </w:rPr>
        <w:t>（二）目标可达性分析。根据园区能源消费和碳排放趋势，从能源供应、工业过程减排、交通建筑节能降碳等方面说明零碳园区建设的有利条件和问题挑战，论证建设可行性。</w:t>
      </w:r>
    </w:p>
    <w:p>
      <w:pPr>
        <w:adjustRightInd w:val="0"/>
        <w:snapToGrid w:val="0"/>
        <w:spacing w:after="0"/>
        <w:ind w:firstLine="640"/>
        <w:rPr>
          <w:rFonts w:ascii="Times New Roman" w:hAnsi="Times New Roman" w:cs="Times New Roman"/>
        </w:rPr>
      </w:pPr>
      <w:r>
        <w:rPr>
          <w:rFonts w:ascii="Times New Roman" w:hAnsi="Times New Roman" w:cs="Times New Roman"/>
        </w:rPr>
        <w:t>（三）综合供能方案。结合园区及周边资源能源禀赋，设计园区综合供能方案，并对供能方案是否能够满足园区及企业需求、是否能够达到北京市零碳园区标准进行论证。</w:t>
      </w: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三、建设目标</w:t>
      </w:r>
    </w:p>
    <w:p>
      <w:pPr>
        <w:adjustRightInd w:val="0"/>
        <w:snapToGrid w:val="0"/>
        <w:spacing w:after="0"/>
        <w:ind w:firstLine="640"/>
        <w:rPr>
          <w:rFonts w:ascii="Times New Roman" w:hAnsi="Times New Roman" w:cs="Times New Roman"/>
        </w:rPr>
      </w:pPr>
      <w:r>
        <w:rPr>
          <w:rFonts w:ascii="Times New Roman" w:hAnsi="Times New Roman" w:cs="Times New Roman"/>
        </w:rPr>
        <w:t>确定零碳园区建设期，围绕建设指标体系提出目标，明确建设的路线图、时间表以及不同阶段建设重点等。</w:t>
      </w: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四、重点任务</w:t>
      </w:r>
    </w:p>
    <w:p>
      <w:pPr>
        <w:adjustRightInd w:val="0"/>
        <w:snapToGrid w:val="0"/>
        <w:spacing w:after="0"/>
        <w:ind w:firstLine="640"/>
        <w:rPr>
          <w:rFonts w:ascii="Times New Roman" w:hAnsi="Times New Roman" w:cs="Times New Roman"/>
        </w:rPr>
      </w:pPr>
      <w:r>
        <w:rPr>
          <w:rFonts w:ascii="Times New Roman" w:hAnsi="Times New Roman" w:cs="Times New Roman"/>
        </w:rPr>
        <w:t>（一）重点工作。围绕</w:t>
      </w:r>
      <w:r>
        <w:rPr>
          <w:rFonts w:hint="eastAsia" w:ascii="Times New Roman" w:hAnsi="Times New Roman" w:cs="Times New Roman"/>
        </w:rPr>
        <w:t>市</w:t>
      </w:r>
      <w:r>
        <w:rPr>
          <w:rFonts w:ascii="Times New Roman" w:hAnsi="Times New Roman" w:cs="Times New Roman"/>
        </w:rPr>
        <w:t>级零碳园区建设任务，结合园区实际提出实现建设目标的具体举措。如建设过程中不涉及某项任务，可不在方案中表述。园区可结合自身实际，创新提出其他有利于零碳园区建设的重点任务。</w:t>
      </w:r>
    </w:p>
    <w:p>
      <w:pPr>
        <w:adjustRightInd w:val="0"/>
        <w:snapToGrid w:val="0"/>
        <w:spacing w:after="0"/>
        <w:ind w:firstLine="640"/>
        <w:rPr>
          <w:rFonts w:ascii="Times New Roman" w:hAnsi="Times New Roman" w:cs="Times New Roman"/>
        </w:rPr>
      </w:pPr>
      <w:r>
        <w:rPr>
          <w:rFonts w:ascii="Times New Roman" w:hAnsi="Times New Roman" w:cs="Times New Roman"/>
        </w:rPr>
        <w:t>（二）重点项目。同步提出支撑重点任务的重点项目，并简要阐述工程项目有关情况，包括但不限于：项目名称、建设主体、建设内容、投资规模、建设周期、实施计划、对于零碳园区建设的意义等内容。重点项目情况以表格形式呈现。</w:t>
      </w: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五、经济性分析</w:t>
      </w:r>
    </w:p>
    <w:p>
      <w:pPr>
        <w:adjustRightInd w:val="0"/>
        <w:snapToGrid w:val="0"/>
        <w:spacing w:after="0"/>
        <w:ind w:firstLine="640"/>
        <w:rPr>
          <w:rFonts w:ascii="Times New Roman" w:hAnsi="Times New Roman" w:cs="Times New Roman"/>
        </w:rPr>
      </w:pPr>
      <w:r>
        <w:rPr>
          <w:rFonts w:ascii="Times New Roman" w:hAnsi="Times New Roman" w:cs="Times New Roman"/>
        </w:rPr>
        <w:t>结合重点任务实施路径及重点项目内容，测算零碳园区建设的成本投入和预期经济收益，分析成本结构与收益来源，评估建设的投资回收周期、内部收益率。</w:t>
      </w: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六、创新举措</w:t>
      </w:r>
    </w:p>
    <w:p>
      <w:pPr>
        <w:spacing w:after="0"/>
        <w:ind w:firstLine="640"/>
        <w:rPr>
          <w:rFonts w:ascii="Times New Roman" w:hAnsi="Times New Roman" w:cs="Times New Roman"/>
        </w:rPr>
      </w:pPr>
      <w:r>
        <w:rPr>
          <w:rFonts w:ascii="Times New Roman" w:hAnsi="Times New Roman" w:cs="Times New Roman"/>
        </w:rPr>
        <w:t>提出在零碳园区中拟采取的相关创新举措，包括但不限于机制创新、技术创新、人才引培、金融支持等。</w:t>
      </w: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七、保障措施</w:t>
      </w:r>
    </w:p>
    <w:p>
      <w:pPr>
        <w:spacing w:after="0"/>
        <w:ind w:firstLine="640"/>
        <w:rPr>
          <w:rFonts w:ascii="Times New Roman" w:hAnsi="Times New Roman" w:cs="Times New Roman"/>
        </w:rPr>
      </w:pPr>
      <w:r>
        <w:rPr>
          <w:rFonts w:ascii="Times New Roman" w:hAnsi="Times New Roman" w:cs="Times New Roman"/>
        </w:rPr>
        <w:t>提出保障零碳园区建设工作顺利推进的相关措施。</w:t>
      </w:r>
    </w:p>
    <w:p>
      <w:pPr>
        <w:adjustRightInd w:val="0"/>
        <w:snapToGrid w:val="0"/>
        <w:spacing w:after="0"/>
        <w:ind w:firstLine="640"/>
        <w:rPr>
          <w:rFonts w:ascii="Times New Roman" w:hAnsi="Times New Roman" w:eastAsia="黑体" w:cs="Times New Roman"/>
        </w:rPr>
      </w:pPr>
      <w:r>
        <w:rPr>
          <w:rFonts w:ascii="Times New Roman" w:hAnsi="Times New Roman" w:eastAsia="黑体" w:cs="Times New Roman"/>
        </w:rPr>
        <w:t>八、附件</w:t>
      </w:r>
    </w:p>
    <w:p>
      <w:pPr>
        <w:spacing w:after="0"/>
        <w:ind w:firstLine="640"/>
        <w:rPr>
          <w:rFonts w:ascii="Times New Roman" w:hAnsi="Times New Roman" w:cs="Times New Roman"/>
        </w:rPr>
      </w:pPr>
      <w:r>
        <w:rPr>
          <w:rFonts w:ascii="Times New Roman" w:hAnsi="Times New Roman" w:cs="Times New Roman"/>
        </w:rPr>
        <w:t>1.基本条件证明材料</w:t>
      </w:r>
    </w:p>
    <w:p>
      <w:pPr>
        <w:spacing w:after="0"/>
        <w:ind w:firstLine="640"/>
        <w:rPr>
          <w:rFonts w:ascii="Times New Roman" w:hAnsi="Times New Roman" w:cs="Times New Roman"/>
        </w:rPr>
      </w:pPr>
      <w:r>
        <w:rPr>
          <w:rFonts w:ascii="Times New Roman" w:hAnsi="Times New Roman" w:cs="Times New Roman"/>
        </w:rPr>
        <w:t>2.指标计算过程及证明材料</w:t>
      </w:r>
    </w:p>
    <w:p>
      <w:pPr>
        <w:spacing w:after="0"/>
        <w:ind w:firstLine="640"/>
        <w:rPr>
          <w:rFonts w:ascii="Times New Roman" w:hAnsi="Times New Roman" w:cs="Times New Roman"/>
          <w:sz w:val="28"/>
          <w:szCs w:val="28"/>
        </w:rPr>
      </w:pPr>
      <w:r>
        <w:rPr>
          <w:rFonts w:ascii="Times New Roman" w:hAnsi="Times New Roman" w:cs="Times New Roman"/>
        </w:rPr>
        <w:t>3.工作成效证明材料</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6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altName w:val="仿宋_GB2312"/>
    <w:panose1 w:val="00000000000000000000"/>
    <w:charset w:val="86"/>
    <w:family w:val="auto"/>
    <w:pitch w:val="default"/>
    <w:sig w:usb0="00000000" w:usb1="00000000" w:usb2="00000016" w:usb3="00000000" w:csb0="0004000F" w:csb1="00000000"/>
  </w:font>
  <w:font w:name="方正楷体_GBK">
    <w:panose1 w:val="02000000000000000000"/>
    <w:charset w:val="86"/>
    <w:family w:val="script"/>
    <w:pitch w:val="default"/>
    <w:sig w:usb0="00000001" w:usb1="0800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Arial Unicode MS">
    <w:altName w:val="Arial"/>
    <w:panose1 w:val="020B0604020202020204"/>
    <w:charset w:val="86"/>
    <w:family w:val="auto"/>
    <w:pitch w:val="default"/>
    <w:sig w:usb0="00000000" w:usb1="00000000" w:usb2="0000003F" w:usb3="00000000" w:csb0="603F01FF" w:csb1="FFFF0000"/>
  </w:font>
  <w:font w:name="Arial">
    <w:panose1 w:val="020B0704020202020204"/>
    <w:charset w:val="00"/>
    <w:family w:val="auto"/>
    <w:pitch w:val="default"/>
    <w:sig w:usb0="00007A87" w:usb1="80000000" w:usb2="00000008" w:usb3="00000000" w:csb0="400001FF" w:csb1="FFFF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8"/>
                            <w:ind w:firstLine="560"/>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uXW5UtAAAAAFAQAADwAAAAAAAAAB&#10;ACAAAAA4AAAAZHJzL2Rvd25yZXYueG1sUEsBAhQAFAAAAAgAh07iQBnaaT/JAQAAkgMAAA4AAAAA&#10;AAAAAQAgAAAANQEAAGRycy9lMm9Eb2MueG1sUEsFBgAAAAAGAAYAWQEAAHAFAAAAAA==&#10;">
              <v:fill on="f" focussize="0,0"/>
              <v:stroke on="f"/>
              <v:imagedata o:title=""/>
              <o:lock v:ext="edit" aspectratio="f"/>
              <v:textbox inset="0mm,0mm,0mm,0mm" style="mso-fit-shape-to-text:t;">
                <w:txbxContent>
                  <w:p>
                    <w:pPr>
                      <w:pStyle w:val="18"/>
                      <w:ind w:firstLine="560"/>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4A0CB6"/>
    <w:multiLevelType w:val="singleLevel"/>
    <w:tmpl w:val="2A4A0CB6"/>
    <w:lvl w:ilvl="0" w:tentative="0">
      <w:start w:val="1"/>
      <w:numFmt w:val="decimal"/>
      <w:lvlText w:val="%1."/>
      <w:lvlJc w:val="left"/>
      <w:pPr>
        <w:tabs>
          <w:tab w:val="left" w:pos="312"/>
        </w:tabs>
      </w:pPr>
      <w:rPr>
        <w:rFonts w:hint="default"/>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1NWE5YTY1OTMyNzdmMzRhZTlkZTJjMzU3NTY5YTYifQ=="/>
  </w:docVars>
  <w:rsids>
    <w:rsidRoot w:val="009E4085"/>
    <w:rsid w:val="00021349"/>
    <w:rsid w:val="00030891"/>
    <w:rsid w:val="00041B2E"/>
    <w:rsid w:val="00041F1B"/>
    <w:rsid w:val="00053922"/>
    <w:rsid w:val="00055584"/>
    <w:rsid w:val="00056D27"/>
    <w:rsid w:val="0007735B"/>
    <w:rsid w:val="00081BEB"/>
    <w:rsid w:val="0008545F"/>
    <w:rsid w:val="000D4A1A"/>
    <w:rsid w:val="000E1E81"/>
    <w:rsid w:val="000E3B89"/>
    <w:rsid w:val="000F52C1"/>
    <w:rsid w:val="000F5D7A"/>
    <w:rsid w:val="001021BB"/>
    <w:rsid w:val="0014748F"/>
    <w:rsid w:val="0016427C"/>
    <w:rsid w:val="001766FD"/>
    <w:rsid w:val="001770C2"/>
    <w:rsid w:val="00186CE5"/>
    <w:rsid w:val="00194A50"/>
    <w:rsid w:val="001C0178"/>
    <w:rsid w:val="001D440A"/>
    <w:rsid w:val="001E2B31"/>
    <w:rsid w:val="00224414"/>
    <w:rsid w:val="00296AD7"/>
    <w:rsid w:val="002A4A4A"/>
    <w:rsid w:val="002A5A75"/>
    <w:rsid w:val="002B167B"/>
    <w:rsid w:val="002C546E"/>
    <w:rsid w:val="002E0719"/>
    <w:rsid w:val="002F3DE0"/>
    <w:rsid w:val="003522AE"/>
    <w:rsid w:val="0037399D"/>
    <w:rsid w:val="003836C5"/>
    <w:rsid w:val="00394B2E"/>
    <w:rsid w:val="00396A69"/>
    <w:rsid w:val="003973D8"/>
    <w:rsid w:val="003B0BFB"/>
    <w:rsid w:val="003E027B"/>
    <w:rsid w:val="003F0B72"/>
    <w:rsid w:val="00407F91"/>
    <w:rsid w:val="00416BB6"/>
    <w:rsid w:val="004357DC"/>
    <w:rsid w:val="004557D1"/>
    <w:rsid w:val="00493CB2"/>
    <w:rsid w:val="004A0BBB"/>
    <w:rsid w:val="004C4D15"/>
    <w:rsid w:val="004E731C"/>
    <w:rsid w:val="00537FE7"/>
    <w:rsid w:val="00574758"/>
    <w:rsid w:val="00575A33"/>
    <w:rsid w:val="00576A86"/>
    <w:rsid w:val="005910B6"/>
    <w:rsid w:val="005914E8"/>
    <w:rsid w:val="005A7A3D"/>
    <w:rsid w:val="005B362F"/>
    <w:rsid w:val="005B7D78"/>
    <w:rsid w:val="005E4253"/>
    <w:rsid w:val="00624AA3"/>
    <w:rsid w:val="00655A2F"/>
    <w:rsid w:val="00683D70"/>
    <w:rsid w:val="00687BEF"/>
    <w:rsid w:val="006A129B"/>
    <w:rsid w:val="006C111D"/>
    <w:rsid w:val="006E0937"/>
    <w:rsid w:val="006E7E87"/>
    <w:rsid w:val="006F39CD"/>
    <w:rsid w:val="00723E51"/>
    <w:rsid w:val="007262CB"/>
    <w:rsid w:val="007871C1"/>
    <w:rsid w:val="007B06CF"/>
    <w:rsid w:val="007B3E68"/>
    <w:rsid w:val="007B536D"/>
    <w:rsid w:val="007C5DAD"/>
    <w:rsid w:val="008021AF"/>
    <w:rsid w:val="0080229B"/>
    <w:rsid w:val="008122B6"/>
    <w:rsid w:val="00883C05"/>
    <w:rsid w:val="00890B03"/>
    <w:rsid w:val="00892080"/>
    <w:rsid w:val="008A09A0"/>
    <w:rsid w:val="008C06D9"/>
    <w:rsid w:val="0091183C"/>
    <w:rsid w:val="00933D01"/>
    <w:rsid w:val="00934785"/>
    <w:rsid w:val="0093499A"/>
    <w:rsid w:val="00975594"/>
    <w:rsid w:val="009C6998"/>
    <w:rsid w:val="009E3D22"/>
    <w:rsid w:val="009E4085"/>
    <w:rsid w:val="009E6437"/>
    <w:rsid w:val="009F6CAC"/>
    <w:rsid w:val="00A53217"/>
    <w:rsid w:val="00A5546C"/>
    <w:rsid w:val="00A80CF0"/>
    <w:rsid w:val="00A812FA"/>
    <w:rsid w:val="00A829E4"/>
    <w:rsid w:val="00AB6C38"/>
    <w:rsid w:val="00AD53C6"/>
    <w:rsid w:val="00AF7BF6"/>
    <w:rsid w:val="00B023B7"/>
    <w:rsid w:val="00B260D7"/>
    <w:rsid w:val="00B376AE"/>
    <w:rsid w:val="00B66EAF"/>
    <w:rsid w:val="00B756D5"/>
    <w:rsid w:val="00B769F5"/>
    <w:rsid w:val="00B9227F"/>
    <w:rsid w:val="00B94F85"/>
    <w:rsid w:val="00B96F1C"/>
    <w:rsid w:val="00BA1125"/>
    <w:rsid w:val="00BA5084"/>
    <w:rsid w:val="00BB3695"/>
    <w:rsid w:val="00BE0ED6"/>
    <w:rsid w:val="00BF28B0"/>
    <w:rsid w:val="00BF43F3"/>
    <w:rsid w:val="00C064FC"/>
    <w:rsid w:val="00C200A0"/>
    <w:rsid w:val="00C50B04"/>
    <w:rsid w:val="00C546BC"/>
    <w:rsid w:val="00C554DB"/>
    <w:rsid w:val="00C652BD"/>
    <w:rsid w:val="00C65475"/>
    <w:rsid w:val="00C67667"/>
    <w:rsid w:val="00C70B9F"/>
    <w:rsid w:val="00C76B3B"/>
    <w:rsid w:val="00CD0FF7"/>
    <w:rsid w:val="00CD19B1"/>
    <w:rsid w:val="00D11CE2"/>
    <w:rsid w:val="00D4269F"/>
    <w:rsid w:val="00D6781A"/>
    <w:rsid w:val="00D740B0"/>
    <w:rsid w:val="00D91788"/>
    <w:rsid w:val="00D92A92"/>
    <w:rsid w:val="00DB4F09"/>
    <w:rsid w:val="00DC3355"/>
    <w:rsid w:val="00DC4FD5"/>
    <w:rsid w:val="00DD399E"/>
    <w:rsid w:val="00DD7ED3"/>
    <w:rsid w:val="00DE6FDC"/>
    <w:rsid w:val="00E16DBF"/>
    <w:rsid w:val="00E2264F"/>
    <w:rsid w:val="00E51CB5"/>
    <w:rsid w:val="00E656AE"/>
    <w:rsid w:val="00E656C8"/>
    <w:rsid w:val="00E66B92"/>
    <w:rsid w:val="00E97708"/>
    <w:rsid w:val="00EE38DF"/>
    <w:rsid w:val="00EF3AED"/>
    <w:rsid w:val="00F06A76"/>
    <w:rsid w:val="00F11DEC"/>
    <w:rsid w:val="00F16012"/>
    <w:rsid w:val="00F17009"/>
    <w:rsid w:val="00F26793"/>
    <w:rsid w:val="00F41B78"/>
    <w:rsid w:val="00F55028"/>
    <w:rsid w:val="00F66F56"/>
    <w:rsid w:val="00F71D18"/>
    <w:rsid w:val="00FC31F8"/>
    <w:rsid w:val="00FC5C4A"/>
    <w:rsid w:val="00FD1FFB"/>
    <w:rsid w:val="00FF4E19"/>
    <w:rsid w:val="00FF56AF"/>
    <w:rsid w:val="0890724B"/>
    <w:rsid w:val="0D4F7A03"/>
    <w:rsid w:val="0DF6632D"/>
    <w:rsid w:val="0E3D0E43"/>
    <w:rsid w:val="0FF9139F"/>
    <w:rsid w:val="1CE60EAB"/>
    <w:rsid w:val="1E5E114F"/>
    <w:rsid w:val="1FB703BD"/>
    <w:rsid w:val="1FFF0CB3"/>
    <w:rsid w:val="200B6FD6"/>
    <w:rsid w:val="21CB6D36"/>
    <w:rsid w:val="23E88DCC"/>
    <w:rsid w:val="2463676D"/>
    <w:rsid w:val="24EA1AA8"/>
    <w:rsid w:val="25F97AE8"/>
    <w:rsid w:val="26CB349E"/>
    <w:rsid w:val="27FF6094"/>
    <w:rsid w:val="29253F88"/>
    <w:rsid w:val="2ACA3D5B"/>
    <w:rsid w:val="2C970D19"/>
    <w:rsid w:val="2D2309A0"/>
    <w:rsid w:val="2DB61B3C"/>
    <w:rsid w:val="3267118D"/>
    <w:rsid w:val="357E6253"/>
    <w:rsid w:val="36F161F6"/>
    <w:rsid w:val="381B0439"/>
    <w:rsid w:val="398D772B"/>
    <w:rsid w:val="39EB3FA3"/>
    <w:rsid w:val="3CE87C43"/>
    <w:rsid w:val="3D3F4D1E"/>
    <w:rsid w:val="3D7F2E01"/>
    <w:rsid w:val="3F3F4FAE"/>
    <w:rsid w:val="3F5B2020"/>
    <w:rsid w:val="3F6E1823"/>
    <w:rsid w:val="3FCC66C1"/>
    <w:rsid w:val="40FB2E45"/>
    <w:rsid w:val="430855FE"/>
    <w:rsid w:val="4912060C"/>
    <w:rsid w:val="49FA24BD"/>
    <w:rsid w:val="4CFA4C80"/>
    <w:rsid w:val="4D153868"/>
    <w:rsid w:val="4D227280"/>
    <w:rsid w:val="4D4C24BE"/>
    <w:rsid w:val="4EA604F0"/>
    <w:rsid w:val="4FFEB2F6"/>
    <w:rsid w:val="528F75C6"/>
    <w:rsid w:val="553E1482"/>
    <w:rsid w:val="55F42066"/>
    <w:rsid w:val="59A87812"/>
    <w:rsid w:val="59FF79CB"/>
    <w:rsid w:val="5A59CCE7"/>
    <w:rsid w:val="5F514804"/>
    <w:rsid w:val="618A0207"/>
    <w:rsid w:val="626B1375"/>
    <w:rsid w:val="650B0672"/>
    <w:rsid w:val="656F7422"/>
    <w:rsid w:val="65CE0600"/>
    <w:rsid w:val="668962F0"/>
    <w:rsid w:val="67DBCF35"/>
    <w:rsid w:val="6A6B1D0C"/>
    <w:rsid w:val="6AE9614F"/>
    <w:rsid w:val="6CAD5413"/>
    <w:rsid w:val="6D9B6238"/>
    <w:rsid w:val="6FFDBC1D"/>
    <w:rsid w:val="73ED09EB"/>
    <w:rsid w:val="73EF7790"/>
    <w:rsid w:val="74F5F296"/>
    <w:rsid w:val="751E3F91"/>
    <w:rsid w:val="753FFA9F"/>
    <w:rsid w:val="771D3195"/>
    <w:rsid w:val="771F602F"/>
    <w:rsid w:val="78197E01"/>
    <w:rsid w:val="796C15AD"/>
    <w:rsid w:val="7A77FE55"/>
    <w:rsid w:val="7C705428"/>
    <w:rsid w:val="7CE64029"/>
    <w:rsid w:val="7D1957B7"/>
    <w:rsid w:val="7D6B38D1"/>
    <w:rsid w:val="7E315C19"/>
    <w:rsid w:val="7E373894"/>
    <w:rsid w:val="7EBF26A4"/>
    <w:rsid w:val="7F3A300B"/>
    <w:rsid w:val="7FD3EC71"/>
    <w:rsid w:val="7FF58DA7"/>
    <w:rsid w:val="9DF78292"/>
    <w:rsid w:val="AE7BF4AD"/>
    <w:rsid w:val="AF1E4DF9"/>
    <w:rsid w:val="B1FA84C4"/>
    <w:rsid w:val="B73F88EC"/>
    <w:rsid w:val="B75592DA"/>
    <w:rsid w:val="BBBD42F8"/>
    <w:rsid w:val="BE9B1645"/>
    <w:rsid w:val="C1D7C520"/>
    <w:rsid w:val="CEFFCA56"/>
    <w:rsid w:val="DF7756E7"/>
    <w:rsid w:val="EA96E6B1"/>
    <w:rsid w:val="EEDF7FBB"/>
    <w:rsid w:val="F7FBF796"/>
    <w:rsid w:val="F9B74F0F"/>
    <w:rsid w:val="FACA0FE1"/>
    <w:rsid w:val="FB37A7CB"/>
    <w:rsid w:val="FCEF70BD"/>
    <w:rsid w:val="FEEF7215"/>
    <w:rsid w:val="FEF9BCE1"/>
    <w:rsid w:val="FEFF5577"/>
    <w:rsid w:val="FF3A8D90"/>
    <w:rsid w:val="FFF7C30A"/>
    <w:rsid w:val="FFFA0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560" w:lineRule="exact"/>
      <w:ind w:firstLine="88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link w:val="40"/>
    <w:qFormat/>
    <w:uiPriority w:val="9"/>
    <w:pPr>
      <w:keepNext/>
      <w:keepLines/>
      <w:spacing w:before="480" w:after="80"/>
      <w:outlineLvl w:val="0"/>
    </w:pPr>
    <w:rPr>
      <w:rFonts w:ascii="等线 Light" w:hAnsi="等线 Light" w:eastAsia="等线 Light" w:cs="宋体"/>
      <w:color w:val="2F5496"/>
      <w:sz w:val="48"/>
      <w:szCs w:val="48"/>
    </w:rPr>
  </w:style>
  <w:style w:type="paragraph" w:styleId="3">
    <w:name w:val="heading 2"/>
    <w:basedOn w:val="1"/>
    <w:next w:val="1"/>
    <w:link w:val="43"/>
    <w:qFormat/>
    <w:uiPriority w:val="9"/>
    <w:pPr>
      <w:keepNext/>
      <w:keepLines/>
      <w:ind w:firstLine="600"/>
      <w:outlineLvl w:val="1"/>
    </w:pPr>
    <w:rPr>
      <w:rFonts w:ascii="方正楷体_GBK" w:hAnsi="方正楷体_GBK" w:eastAsia="黑体" w:cs="黑体"/>
      <w:szCs w:val="30"/>
    </w:rPr>
  </w:style>
  <w:style w:type="paragraph" w:styleId="4">
    <w:name w:val="heading 3"/>
    <w:basedOn w:val="1"/>
    <w:next w:val="1"/>
    <w:link w:val="45"/>
    <w:qFormat/>
    <w:uiPriority w:val="9"/>
    <w:pPr>
      <w:keepNext/>
      <w:keepLines/>
      <w:spacing w:before="260" w:after="260" w:line="416" w:lineRule="auto"/>
      <w:outlineLvl w:val="2"/>
    </w:pPr>
    <w:rPr>
      <w:b/>
      <w:bCs/>
    </w:rPr>
  </w:style>
  <w:style w:type="paragraph" w:styleId="5">
    <w:name w:val="heading 4"/>
    <w:basedOn w:val="1"/>
    <w:next w:val="1"/>
    <w:link w:val="46"/>
    <w:qFormat/>
    <w:uiPriority w:val="9"/>
    <w:pPr>
      <w:keepNext/>
      <w:keepLines/>
      <w:spacing w:before="80" w:after="40"/>
      <w:outlineLvl w:val="3"/>
    </w:pPr>
    <w:rPr>
      <w:rFonts w:ascii="等线" w:hAnsi="等线" w:eastAsia="等线" w:cs="宋体"/>
      <w:color w:val="2F5496"/>
      <w:sz w:val="28"/>
      <w:szCs w:val="28"/>
    </w:rPr>
  </w:style>
  <w:style w:type="paragraph" w:styleId="6">
    <w:name w:val="heading 5"/>
    <w:basedOn w:val="1"/>
    <w:next w:val="1"/>
    <w:link w:val="47"/>
    <w:qFormat/>
    <w:uiPriority w:val="9"/>
    <w:pPr>
      <w:keepNext/>
      <w:keepLines/>
      <w:spacing w:before="80" w:after="40"/>
      <w:outlineLvl w:val="4"/>
    </w:pPr>
    <w:rPr>
      <w:rFonts w:ascii="等线" w:hAnsi="等线" w:eastAsia="等线" w:cs="宋体"/>
      <w:color w:val="2F5496"/>
      <w:sz w:val="24"/>
      <w:szCs w:val="24"/>
    </w:rPr>
  </w:style>
  <w:style w:type="paragraph" w:styleId="7">
    <w:name w:val="heading 6"/>
    <w:basedOn w:val="1"/>
    <w:next w:val="1"/>
    <w:link w:val="48"/>
    <w:qFormat/>
    <w:uiPriority w:val="9"/>
    <w:pPr>
      <w:keepNext/>
      <w:keepLines/>
      <w:spacing w:before="40"/>
      <w:outlineLvl w:val="5"/>
    </w:pPr>
    <w:rPr>
      <w:rFonts w:ascii="等线" w:hAnsi="等线" w:eastAsia="等线" w:cs="宋体"/>
      <w:b/>
      <w:bCs/>
      <w:color w:val="2F5496"/>
    </w:rPr>
  </w:style>
  <w:style w:type="paragraph" w:styleId="8">
    <w:name w:val="heading 7"/>
    <w:basedOn w:val="1"/>
    <w:next w:val="1"/>
    <w:link w:val="49"/>
    <w:qFormat/>
    <w:uiPriority w:val="9"/>
    <w:pPr>
      <w:keepNext/>
      <w:keepLines/>
      <w:spacing w:before="40"/>
      <w:outlineLvl w:val="6"/>
    </w:pPr>
    <w:rPr>
      <w:rFonts w:ascii="等线" w:hAnsi="等线" w:eastAsia="等线" w:cs="宋体"/>
      <w:b/>
      <w:bCs/>
      <w:color w:val="595959"/>
    </w:rPr>
  </w:style>
  <w:style w:type="paragraph" w:styleId="9">
    <w:name w:val="heading 8"/>
    <w:basedOn w:val="1"/>
    <w:next w:val="1"/>
    <w:link w:val="50"/>
    <w:qFormat/>
    <w:uiPriority w:val="9"/>
    <w:pPr>
      <w:keepNext/>
      <w:keepLines/>
      <w:outlineLvl w:val="7"/>
    </w:pPr>
    <w:rPr>
      <w:rFonts w:ascii="等线" w:hAnsi="等线" w:eastAsia="等线" w:cs="宋体"/>
      <w:color w:val="595959"/>
    </w:rPr>
  </w:style>
  <w:style w:type="paragraph" w:styleId="10">
    <w:name w:val="heading 9"/>
    <w:basedOn w:val="1"/>
    <w:next w:val="1"/>
    <w:link w:val="51"/>
    <w:qFormat/>
    <w:uiPriority w:val="9"/>
    <w:pPr>
      <w:keepNext/>
      <w:keepLines/>
      <w:outlineLvl w:val="8"/>
    </w:pPr>
    <w:rPr>
      <w:rFonts w:ascii="等线" w:hAnsi="等线" w:eastAsia="等线 Light" w:cs="宋体"/>
      <w:color w:val="595959"/>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spacing w:line="278" w:lineRule="auto"/>
      <w:ind w:left="2520" w:leftChars="1200"/>
      <w:jc w:val="left"/>
    </w:pPr>
    <w:rPr>
      <w:rFonts w:ascii="等线" w:hAnsi="等线" w:eastAsia="等线" w:cs="宋体"/>
      <w:sz w:val="22"/>
      <w:szCs w:val="24"/>
      <w14:ligatures w14:val="standardContextual"/>
    </w:rPr>
  </w:style>
  <w:style w:type="paragraph" w:styleId="12">
    <w:name w:val="annotation text"/>
    <w:basedOn w:val="1"/>
    <w:link w:val="52"/>
    <w:qFormat/>
    <w:uiPriority w:val="99"/>
    <w:pPr>
      <w:jc w:val="left"/>
    </w:pPr>
    <w:rPr>
      <w:rFonts w:ascii="等线" w:hAnsi="等线" w:eastAsia="等线" w:cs="宋体"/>
    </w:rPr>
  </w:style>
  <w:style w:type="paragraph" w:styleId="13">
    <w:name w:val="Body Text"/>
    <w:basedOn w:val="1"/>
    <w:next w:val="1"/>
    <w:link w:val="73"/>
    <w:qFormat/>
    <w:uiPriority w:val="99"/>
    <w:pPr>
      <w:autoSpaceDE w:val="0"/>
      <w:autoSpaceDN w:val="0"/>
      <w:spacing w:after="0" w:line="240" w:lineRule="auto"/>
      <w:ind w:firstLine="0" w:firstLineChars="0"/>
      <w:jc w:val="left"/>
    </w:pPr>
    <w:rPr>
      <w:rFonts w:ascii="Arial Unicode MS" w:hAnsi="Arial Unicode MS" w:eastAsia="宋体" w:cs="Arial Unicode MS"/>
      <w:kern w:val="0"/>
      <w:sz w:val="21"/>
      <w:szCs w:val="22"/>
      <w:lang w:val="zh-CN"/>
    </w:rPr>
  </w:style>
  <w:style w:type="paragraph" w:styleId="14">
    <w:name w:val="Body Text Indent"/>
    <w:basedOn w:val="1"/>
    <w:qFormat/>
    <w:uiPriority w:val="99"/>
    <w:pPr>
      <w:spacing w:after="120"/>
      <w:ind w:left="420" w:leftChars="200"/>
    </w:pPr>
    <w:rPr>
      <w:rFonts w:ascii="Calibri" w:hAnsi="Calibri" w:eastAsia="宋体"/>
      <w:sz w:val="21"/>
      <w:szCs w:val="22"/>
    </w:rPr>
  </w:style>
  <w:style w:type="paragraph" w:styleId="15">
    <w:name w:val="toc 5"/>
    <w:basedOn w:val="1"/>
    <w:next w:val="1"/>
    <w:qFormat/>
    <w:uiPriority w:val="39"/>
    <w:pPr>
      <w:spacing w:line="278" w:lineRule="auto"/>
      <w:ind w:left="1680" w:leftChars="800"/>
      <w:jc w:val="left"/>
    </w:pPr>
    <w:rPr>
      <w:rFonts w:ascii="等线" w:hAnsi="等线" w:eastAsia="等线" w:cs="宋体"/>
      <w:sz w:val="22"/>
      <w:szCs w:val="24"/>
      <w14:ligatures w14:val="standardContextual"/>
    </w:rPr>
  </w:style>
  <w:style w:type="paragraph" w:styleId="16">
    <w:name w:val="toc 3"/>
    <w:basedOn w:val="1"/>
    <w:next w:val="1"/>
    <w:qFormat/>
    <w:uiPriority w:val="39"/>
    <w:pPr>
      <w:ind w:left="840" w:leftChars="400"/>
    </w:pPr>
    <w:rPr>
      <w:rFonts w:ascii="等线" w:hAnsi="等线" w:eastAsia="等线" w:cs="宋体"/>
    </w:rPr>
  </w:style>
  <w:style w:type="paragraph" w:styleId="17">
    <w:name w:val="toc 8"/>
    <w:basedOn w:val="1"/>
    <w:next w:val="1"/>
    <w:qFormat/>
    <w:uiPriority w:val="39"/>
    <w:pPr>
      <w:spacing w:line="278" w:lineRule="auto"/>
      <w:ind w:left="2940" w:leftChars="1400"/>
      <w:jc w:val="left"/>
    </w:pPr>
    <w:rPr>
      <w:rFonts w:ascii="等线" w:hAnsi="等线" w:eastAsia="等线" w:cs="宋体"/>
      <w:sz w:val="22"/>
      <w:szCs w:val="24"/>
      <w14:ligatures w14:val="standardContextual"/>
    </w:rPr>
  </w:style>
  <w:style w:type="paragraph" w:styleId="18">
    <w:name w:val="footer"/>
    <w:basedOn w:val="1"/>
    <w:link w:val="42"/>
    <w:qFormat/>
    <w:uiPriority w:val="99"/>
    <w:pPr>
      <w:tabs>
        <w:tab w:val="center" w:pos="4153"/>
        <w:tab w:val="right" w:pos="8306"/>
      </w:tabs>
      <w:snapToGrid w:val="0"/>
      <w:jc w:val="left"/>
    </w:pPr>
    <w:rPr>
      <w:sz w:val="18"/>
      <w:szCs w:val="18"/>
    </w:rPr>
  </w:style>
  <w:style w:type="paragraph" w:styleId="19">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rPr>
      <w:rFonts w:ascii="等线" w:hAnsi="等线" w:eastAsia="等线" w:cs="宋体"/>
    </w:rPr>
  </w:style>
  <w:style w:type="paragraph" w:styleId="21">
    <w:name w:val="toc 4"/>
    <w:basedOn w:val="1"/>
    <w:next w:val="1"/>
    <w:qFormat/>
    <w:uiPriority w:val="39"/>
    <w:pPr>
      <w:spacing w:line="278" w:lineRule="auto"/>
      <w:ind w:left="1260" w:leftChars="600"/>
      <w:jc w:val="left"/>
    </w:pPr>
    <w:rPr>
      <w:rFonts w:ascii="等线" w:hAnsi="等线" w:eastAsia="等线" w:cs="宋体"/>
      <w:sz w:val="22"/>
      <w:szCs w:val="24"/>
      <w14:ligatures w14:val="standardContextual"/>
    </w:rPr>
  </w:style>
  <w:style w:type="paragraph" w:styleId="22">
    <w:name w:val="Subtitle"/>
    <w:basedOn w:val="1"/>
    <w:next w:val="1"/>
    <w:link w:val="53"/>
    <w:qFormat/>
    <w:uiPriority w:val="11"/>
    <w:pPr>
      <w:jc w:val="center"/>
    </w:pPr>
    <w:rPr>
      <w:rFonts w:ascii="等线 Light" w:hAnsi="等线 Light" w:eastAsia="等线 Light" w:cs="宋体"/>
      <w:color w:val="595959"/>
      <w:spacing w:val="15"/>
      <w:sz w:val="28"/>
      <w:szCs w:val="28"/>
    </w:rPr>
  </w:style>
  <w:style w:type="paragraph" w:styleId="23">
    <w:name w:val="footnote text"/>
    <w:basedOn w:val="1"/>
    <w:link w:val="54"/>
    <w:qFormat/>
    <w:uiPriority w:val="0"/>
    <w:pPr>
      <w:snapToGrid w:val="0"/>
      <w:jc w:val="left"/>
    </w:pPr>
    <w:rPr>
      <w:rFonts w:ascii="等线" w:hAnsi="等线" w:eastAsia="等线" w:cs="宋体"/>
      <w:sz w:val="18"/>
      <w:szCs w:val="24"/>
    </w:rPr>
  </w:style>
  <w:style w:type="paragraph" w:styleId="24">
    <w:name w:val="toc 6"/>
    <w:basedOn w:val="1"/>
    <w:next w:val="1"/>
    <w:qFormat/>
    <w:uiPriority w:val="39"/>
    <w:pPr>
      <w:spacing w:line="278" w:lineRule="auto"/>
      <w:ind w:left="2100" w:leftChars="1000"/>
      <w:jc w:val="left"/>
    </w:pPr>
    <w:rPr>
      <w:rFonts w:ascii="等线" w:hAnsi="等线" w:eastAsia="等线" w:cs="宋体"/>
      <w:sz w:val="22"/>
      <w:szCs w:val="24"/>
      <w14:ligatures w14:val="standardContextual"/>
    </w:rPr>
  </w:style>
  <w:style w:type="paragraph" w:styleId="25">
    <w:name w:val="table of figures"/>
    <w:basedOn w:val="1"/>
    <w:next w:val="1"/>
    <w:qFormat/>
    <w:uiPriority w:val="99"/>
    <w:pPr>
      <w:ind w:left="200" w:leftChars="200" w:hanging="200" w:hangingChars="200"/>
    </w:pPr>
    <w:rPr>
      <w:rFonts w:ascii="等线" w:hAnsi="等线" w:eastAsia="等线" w:cs="宋体"/>
    </w:rPr>
  </w:style>
  <w:style w:type="paragraph" w:styleId="26">
    <w:name w:val="toc 2"/>
    <w:basedOn w:val="1"/>
    <w:next w:val="1"/>
    <w:qFormat/>
    <w:uiPriority w:val="39"/>
    <w:pPr>
      <w:ind w:left="420" w:leftChars="200"/>
    </w:pPr>
    <w:rPr>
      <w:rFonts w:ascii="等线" w:hAnsi="等线" w:eastAsia="等线" w:cs="宋体"/>
    </w:rPr>
  </w:style>
  <w:style w:type="paragraph" w:styleId="27">
    <w:name w:val="toc 9"/>
    <w:basedOn w:val="1"/>
    <w:next w:val="1"/>
    <w:qFormat/>
    <w:uiPriority w:val="39"/>
    <w:pPr>
      <w:spacing w:line="278" w:lineRule="auto"/>
      <w:ind w:left="3360" w:leftChars="1600"/>
      <w:jc w:val="left"/>
    </w:pPr>
    <w:rPr>
      <w:rFonts w:ascii="等线" w:hAnsi="等线" w:eastAsia="等线" w:cs="宋体"/>
      <w:sz w:val="22"/>
      <w:szCs w:val="24"/>
      <w14:ligatures w14:val="standardContextual"/>
    </w:rPr>
  </w:style>
  <w:style w:type="paragraph" w:styleId="28">
    <w:name w:val="Normal (Web)"/>
    <w:basedOn w:val="1"/>
    <w:qFormat/>
    <w:uiPriority w:val="99"/>
    <w:rPr>
      <w:rFonts w:ascii="Times New Roman" w:hAnsi="Times New Roman"/>
      <w:sz w:val="24"/>
      <w:szCs w:val="24"/>
    </w:rPr>
  </w:style>
  <w:style w:type="paragraph" w:styleId="29">
    <w:name w:val="Title"/>
    <w:basedOn w:val="1"/>
    <w:next w:val="1"/>
    <w:link w:val="55"/>
    <w:qFormat/>
    <w:uiPriority w:val="10"/>
    <w:pPr>
      <w:spacing w:after="80"/>
      <w:contextualSpacing/>
      <w:jc w:val="center"/>
    </w:pPr>
    <w:rPr>
      <w:rFonts w:ascii="等线 Light" w:hAnsi="等线 Light" w:eastAsia="等线 Light" w:cs="宋体"/>
      <w:spacing w:val="-10"/>
      <w:kern w:val="28"/>
      <w:sz w:val="56"/>
      <w:szCs w:val="56"/>
    </w:rPr>
  </w:style>
  <w:style w:type="paragraph" w:styleId="30">
    <w:name w:val="annotation subject"/>
    <w:basedOn w:val="12"/>
    <w:next w:val="12"/>
    <w:link w:val="56"/>
    <w:qFormat/>
    <w:uiPriority w:val="99"/>
    <w:rPr>
      <w:b/>
      <w:bCs/>
    </w:rPr>
  </w:style>
  <w:style w:type="paragraph" w:styleId="31">
    <w:name w:val="Body Text First Indent 2"/>
    <w:basedOn w:val="14"/>
    <w:qFormat/>
    <w:uiPriority w:val="99"/>
    <w:pPr>
      <w:spacing w:after="0"/>
      <w:ind w:left="0" w:leftChars="0" w:firstLine="420"/>
    </w:pPr>
    <w:rPr>
      <w:rFonts w:eastAsia="仿宋_GB2312"/>
      <w:sz w:val="32"/>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22"/>
    <w:rPr>
      <w:b/>
      <w:bCs/>
    </w:rPr>
  </w:style>
  <w:style w:type="character" w:styleId="36">
    <w:name w:val="FollowedHyperlink"/>
    <w:basedOn w:val="34"/>
    <w:qFormat/>
    <w:uiPriority w:val="99"/>
    <w:rPr>
      <w:color w:val="954F72"/>
      <w:u w:val="single"/>
    </w:rPr>
  </w:style>
  <w:style w:type="character" w:styleId="37">
    <w:name w:val="Hyperlink"/>
    <w:basedOn w:val="34"/>
    <w:qFormat/>
    <w:uiPriority w:val="99"/>
    <w:rPr>
      <w:color w:val="0563C1"/>
      <w:u w:val="single"/>
    </w:rPr>
  </w:style>
  <w:style w:type="character" w:styleId="38">
    <w:name w:val="annotation reference"/>
    <w:basedOn w:val="34"/>
    <w:qFormat/>
    <w:uiPriority w:val="99"/>
    <w:rPr>
      <w:sz w:val="21"/>
      <w:szCs w:val="21"/>
    </w:rPr>
  </w:style>
  <w:style w:type="character" w:styleId="39">
    <w:name w:val="footnote reference"/>
    <w:basedOn w:val="34"/>
    <w:qFormat/>
    <w:uiPriority w:val="0"/>
    <w:rPr>
      <w:vertAlign w:val="superscript"/>
    </w:rPr>
  </w:style>
  <w:style w:type="character" w:customStyle="1" w:styleId="40">
    <w:name w:val="标题 1 Char"/>
    <w:basedOn w:val="34"/>
    <w:link w:val="2"/>
    <w:qFormat/>
    <w:uiPriority w:val="9"/>
    <w:rPr>
      <w:rFonts w:ascii="等线 Light" w:hAnsi="等线 Light" w:eastAsia="等线 Light" w:cs="宋体"/>
      <w:color w:val="2F5496"/>
      <w:sz w:val="48"/>
      <w:szCs w:val="48"/>
    </w:rPr>
  </w:style>
  <w:style w:type="character" w:customStyle="1" w:styleId="41">
    <w:name w:val="页眉 Char"/>
    <w:basedOn w:val="34"/>
    <w:link w:val="19"/>
    <w:qFormat/>
    <w:uiPriority w:val="99"/>
    <w:rPr>
      <w:sz w:val="18"/>
      <w:szCs w:val="18"/>
    </w:rPr>
  </w:style>
  <w:style w:type="character" w:customStyle="1" w:styleId="42">
    <w:name w:val="页脚 Char"/>
    <w:basedOn w:val="34"/>
    <w:link w:val="18"/>
    <w:qFormat/>
    <w:uiPriority w:val="99"/>
    <w:rPr>
      <w:sz w:val="18"/>
      <w:szCs w:val="18"/>
    </w:rPr>
  </w:style>
  <w:style w:type="character" w:customStyle="1" w:styleId="43">
    <w:name w:val="标题 2 Char"/>
    <w:basedOn w:val="34"/>
    <w:link w:val="3"/>
    <w:qFormat/>
    <w:uiPriority w:val="9"/>
    <w:rPr>
      <w:rFonts w:ascii="方正楷体_GBK" w:hAnsi="方正楷体_GBK" w:eastAsia="黑体" w:cs="黑体"/>
      <w:sz w:val="32"/>
      <w:szCs w:val="30"/>
    </w:rPr>
  </w:style>
  <w:style w:type="paragraph" w:styleId="44">
    <w:name w:val="List Paragraph"/>
    <w:basedOn w:val="1"/>
    <w:qFormat/>
    <w:uiPriority w:val="34"/>
    <w:pPr>
      <w:ind w:firstLine="420"/>
    </w:pPr>
  </w:style>
  <w:style w:type="character" w:customStyle="1" w:styleId="45">
    <w:name w:val="标题 3 Char"/>
    <w:basedOn w:val="34"/>
    <w:link w:val="4"/>
    <w:qFormat/>
    <w:uiPriority w:val="9"/>
    <w:rPr>
      <w:rFonts w:ascii="等线" w:hAnsi="等线" w:eastAsia="等线" w:cs="Times New Roman"/>
      <w:b/>
      <w:bCs/>
      <w:sz w:val="32"/>
      <w:szCs w:val="32"/>
    </w:rPr>
  </w:style>
  <w:style w:type="character" w:customStyle="1" w:styleId="46">
    <w:name w:val="标题 4 Char"/>
    <w:basedOn w:val="34"/>
    <w:link w:val="5"/>
    <w:qFormat/>
    <w:uiPriority w:val="9"/>
    <w:rPr>
      <w:rFonts w:cs="宋体"/>
      <w:color w:val="2F5496"/>
      <w:sz w:val="28"/>
      <w:szCs w:val="28"/>
    </w:rPr>
  </w:style>
  <w:style w:type="character" w:customStyle="1" w:styleId="47">
    <w:name w:val="标题 5 Char"/>
    <w:basedOn w:val="34"/>
    <w:link w:val="6"/>
    <w:qFormat/>
    <w:uiPriority w:val="9"/>
    <w:rPr>
      <w:rFonts w:cs="宋体"/>
      <w:color w:val="2F5496"/>
      <w:sz w:val="24"/>
      <w:szCs w:val="24"/>
    </w:rPr>
  </w:style>
  <w:style w:type="character" w:customStyle="1" w:styleId="48">
    <w:name w:val="标题 6 Char"/>
    <w:basedOn w:val="34"/>
    <w:link w:val="7"/>
    <w:qFormat/>
    <w:uiPriority w:val="9"/>
    <w:rPr>
      <w:rFonts w:cs="宋体"/>
      <w:b/>
      <w:bCs/>
      <w:color w:val="2F5496"/>
    </w:rPr>
  </w:style>
  <w:style w:type="character" w:customStyle="1" w:styleId="49">
    <w:name w:val="标题 7 Char"/>
    <w:basedOn w:val="34"/>
    <w:link w:val="8"/>
    <w:qFormat/>
    <w:uiPriority w:val="9"/>
    <w:rPr>
      <w:rFonts w:cs="宋体"/>
      <w:b/>
      <w:bCs/>
      <w:color w:val="595959"/>
    </w:rPr>
  </w:style>
  <w:style w:type="character" w:customStyle="1" w:styleId="50">
    <w:name w:val="标题 8 Char"/>
    <w:basedOn w:val="34"/>
    <w:link w:val="9"/>
    <w:qFormat/>
    <w:uiPriority w:val="9"/>
    <w:rPr>
      <w:rFonts w:cs="宋体"/>
      <w:color w:val="595959"/>
    </w:rPr>
  </w:style>
  <w:style w:type="character" w:customStyle="1" w:styleId="51">
    <w:name w:val="标题 9 Char"/>
    <w:basedOn w:val="34"/>
    <w:link w:val="10"/>
    <w:qFormat/>
    <w:uiPriority w:val="9"/>
    <w:rPr>
      <w:rFonts w:eastAsia="等线 Light" w:cs="宋体"/>
      <w:color w:val="595959"/>
    </w:rPr>
  </w:style>
  <w:style w:type="character" w:customStyle="1" w:styleId="52">
    <w:name w:val="批注文字 Char"/>
    <w:basedOn w:val="34"/>
    <w:link w:val="12"/>
    <w:qFormat/>
    <w:uiPriority w:val="99"/>
  </w:style>
  <w:style w:type="character" w:customStyle="1" w:styleId="53">
    <w:name w:val="副标题 Char"/>
    <w:basedOn w:val="34"/>
    <w:link w:val="22"/>
    <w:qFormat/>
    <w:uiPriority w:val="11"/>
    <w:rPr>
      <w:rFonts w:ascii="等线 Light" w:hAnsi="等线 Light" w:eastAsia="等线 Light" w:cs="宋体"/>
      <w:color w:val="595959"/>
      <w:spacing w:val="15"/>
      <w:sz w:val="28"/>
      <w:szCs w:val="28"/>
    </w:rPr>
  </w:style>
  <w:style w:type="character" w:customStyle="1" w:styleId="54">
    <w:name w:val="脚注文本 Char"/>
    <w:basedOn w:val="34"/>
    <w:link w:val="23"/>
    <w:qFormat/>
    <w:uiPriority w:val="0"/>
    <w:rPr>
      <w:sz w:val="18"/>
      <w:szCs w:val="24"/>
    </w:rPr>
  </w:style>
  <w:style w:type="character" w:customStyle="1" w:styleId="55">
    <w:name w:val="标题 Char"/>
    <w:basedOn w:val="34"/>
    <w:link w:val="29"/>
    <w:qFormat/>
    <w:uiPriority w:val="10"/>
    <w:rPr>
      <w:rFonts w:ascii="等线 Light" w:hAnsi="等线 Light" w:eastAsia="等线 Light" w:cs="宋体"/>
      <w:spacing w:val="-10"/>
      <w:kern w:val="28"/>
      <w:sz w:val="56"/>
      <w:szCs w:val="56"/>
    </w:rPr>
  </w:style>
  <w:style w:type="character" w:customStyle="1" w:styleId="56">
    <w:name w:val="批注主题 Char"/>
    <w:basedOn w:val="52"/>
    <w:link w:val="30"/>
    <w:qFormat/>
    <w:uiPriority w:val="99"/>
    <w:rPr>
      <w:b/>
      <w:bCs/>
    </w:rPr>
  </w:style>
  <w:style w:type="paragraph" w:styleId="57">
    <w:name w:val="Quote"/>
    <w:basedOn w:val="1"/>
    <w:next w:val="1"/>
    <w:link w:val="58"/>
    <w:qFormat/>
    <w:uiPriority w:val="29"/>
    <w:pPr>
      <w:spacing w:before="160"/>
      <w:jc w:val="center"/>
    </w:pPr>
    <w:rPr>
      <w:rFonts w:ascii="等线" w:hAnsi="等线" w:eastAsia="等线" w:cs="宋体"/>
      <w:i/>
      <w:iCs/>
      <w:color w:val="404040"/>
    </w:rPr>
  </w:style>
  <w:style w:type="character" w:customStyle="1" w:styleId="58">
    <w:name w:val="引用 Char"/>
    <w:basedOn w:val="34"/>
    <w:link w:val="57"/>
    <w:qFormat/>
    <w:uiPriority w:val="29"/>
    <w:rPr>
      <w:i/>
      <w:iCs/>
      <w:color w:val="404040"/>
    </w:rPr>
  </w:style>
  <w:style w:type="character" w:customStyle="1" w:styleId="59">
    <w:name w:val="明显强调1"/>
    <w:basedOn w:val="34"/>
    <w:qFormat/>
    <w:uiPriority w:val="21"/>
    <w:rPr>
      <w:i/>
      <w:iCs/>
      <w:color w:val="2F5496"/>
    </w:rPr>
  </w:style>
  <w:style w:type="paragraph" w:styleId="60">
    <w:name w:val="Intense Quote"/>
    <w:basedOn w:val="1"/>
    <w:next w:val="1"/>
    <w:link w:val="61"/>
    <w:qFormat/>
    <w:uiPriority w:val="30"/>
    <w:pPr>
      <w:pBdr>
        <w:top w:val="single" w:color="2F5496" w:sz="4" w:space="10"/>
        <w:bottom w:val="single" w:color="2F5496" w:sz="4" w:space="10"/>
      </w:pBdr>
      <w:spacing w:before="360" w:after="360"/>
      <w:ind w:left="864" w:right="864"/>
      <w:jc w:val="center"/>
    </w:pPr>
    <w:rPr>
      <w:rFonts w:ascii="等线" w:hAnsi="等线" w:eastAsia="等线" w:cs="宋体"/>
      <w:i/>
      <w:iCs/>
      <w:color w:val="2F5496"/>
    </w:rPr>
  </w:style>
  <w:style w:type="character" w:customStyle="1" w:styleId="61">
    <w:name w:val="明显引用 Char"/>
    <w:basedOn w:val="34"/>
    <w:link w:val="60"/>
    <w:qFormat/>
    <w:uiPriority w:val="30"/>
    <w:rPr>
      <w:i/>
      <w:iCs/>
      <w:color w:val="2F5496"/>
    </w:rPr>
  </w:style>
  <w:style w:type="character" w:customStyle="1" w:styleId="62">
    <w:name w:val="明显参考1"/>
    <w:basedOn w:val="34"/>
    <w:qFormat/>
    <w:uiPriority w:val="32"/>
    <w:rPr>
      <w:b/>
      <w:bCs/>
      <w:smallCaps/>
      <w:color w:val="2F5496"/>
      <w:spacing w:val="5"/>
    </w:rPr>
  </w:style>
  <w:style w:type="character" w:customStyle="1" w:styleId="63">
    <w:name w:val="未处理的提及1"/>
    <w:basedOn w:val="34"/>
    <w:qFormat/>
    <w:uiPriority w:val="99"/>
    <w:rPr>
      <w:color w:val="605E5C"/>
      <w:shd w:val="clear" w:color="auto" w:fill="E1DFDD"/>
    </w:rPr>
  </w:style>
  <w:style w:type="paragraph" w:customStyle="1" w:styleId="64">
    <w:name w:val="图"/>
    <w:basedOn w:val="25"/>
    <w:qFormat/>
    <w:uiPriority w:val="0"/>
    <w:pPr>
      <w:widowControl/>
      <w:adjustRightInd w:val="0"/>
      <w:snapToGrid w:val="0"/>
      <w:spacing w:line="360" w:lineRule="auto"/>
      <w:ind w:firstLine="420" w:firstLineChars="200"/>
      <w:jc w:val="center"/>
    </w:pPr>
    <w:rPr>
      <w:rFonts w:ascii="Times New Roman" w:hAnsi="Times New Roman" w:cs="Times New Roman"/>
      <w14:ligatures w14:val="standardContextual"/>
    </w:rPr>
  </w:style>
  <w:style w:type="paragraph" w:customStyle="1" w:styleId="65">
    <w:name w:val="TOC 标题1"/>
    <w:basedOn w:val="2"/>
    <w:next w:val="1"/>
    <w:qFormat/>
    <w:uiPriority w:val="39"/>
    <w:pPr>
      <w:widowControl/>
      <w:spacing w:before="240" w:after="0" w:line="259" w:lineRule="auto"/>
      <w:jc w:val="left"/>
      <w:outlineLvl w:val="9"/>
    </w:pPr>
    <w:rPr>
      <w:kern w:val="0"/>
      <w:sz w:val="32"/>
      <w:szCs w:val="32"/>
    </w:rPr>
  </w:style>
  <w:style w:type="paragraph" w:customStyle="1" w:styleId="66">
    <w:name w:val="表格"/>
    <w:basedOn w:val="1"/>
    <w:qFormat/>
    <w:uiPriority w:val="0"/>
    <w:rPr>
      <w:rFonts w:ascii="Times New Roman" w:hAnsi="Times New Roman" w:cs="宋体"/>
    </w:rPr>
  </w:style>
  <w:style w:type="character" w:customStyle="1" w:styleId="67">
    <w:name w:val="未处理的提及2"/>
    <w:basedOn w:val="34"/>
    <w:qFormat/>
    <w:uiPriority w:val="99"/>
    <w:rPr>
      <w:color w:val="605E5C"/>
      <w:shd w:val="clear" w:color="auto" w:fill="E1DFDD"/>
    </w:rPr>
  </w:style>
  <w:style w:type="character" w:customStyle="1" w:styleId="68">
    <w:name w:val="font31"/>
    <w:basedOn w:val="34"/>
    <w:qFormat/>
    <w:uiPriority w:val="0"/>
    <w:rPr>
      <w:rFonts w:hint="default" w:ascii="Times New Roman" w:hAnsi="Times New Roman" w:cs="Times New Roman"/>
      <w:color w:val="000000"/>
      <w:sz w:val="21"/>
      <w:szCs w:val="21"/>
      <w:u w:val="none"/>
    </w:rPr>
  </w:style>
  <w:style w:type="character" w:customStyle="1" w:styleId="69">
    <w:name w:val="font21"/>
    <w:basedOn w:val="34"/>
    <w:qFormat/>
    <w:uiPriority w:val="0"/>
    <w:rPr>
      <w:rFonts w:hint="eastAsia" w:ascii="方正仿宋_GBK" w:hAnsi="方正仿宋_GBK" w:eastAsia="方正仿宋_GBK" w:cs="方正仿宋_GBK"/>
      <w:color w:val="000000"/>
      <w:sz w:val="21"/>
      <w:szCs w:val="21"/>
      <w:u w:val="none"/>
    </w:rPr>
  </w:style>
  <w:style w:type="character" w:customStyle="1" w:styleId="70">
    <w:name w:val="未处理的提及3"/>
    <w:basedOn w:val="34"/>
    <w:qFormat/>
    <w:uiPriority w:val="99"/>
    <w:rPr>
      <w:color w:val="605E5C"/>
      <w:shd w:val="clear" w:color="auto" w:fill="E1DFDD"/>
    </w:rPr>
  </w:style>
  <w:style w:type="paragraph" w:customStyle="1" w:styleId="71">
    <w:name w:val="修订1"/>
    <w:qFormat/>
    <w:uiPriority w:val="99"/>
    <w:pPr>
      <w:spacing w:after="160" w:line="278" w:lineRule="auto"/>
    </w:pPr>
    <w:rPr>
      <w:rFonts w:ascii="等线" w:hAnsi="等线" w:eastAsia="等线" w:cs="宋体"/>
      <w:kern w:val="2"/>
      <w:sz w:val="21"/>
      <w:szCs w:val="22"/>
      <w:lang w:val="en-US" w:eastAsia="zh-CN" w:bidi="ar-SA"/>
    </w:rPr>
  </w:style>
  <w:style w:type="paragraph" w:customStyle="1" w:styleId="72">
    <w:name w:val="修订2"/>
    <w:qFormat/>
    <w:uiPriority w:val="99"/>
    <w:pPr>
      <w:spacing w:after="160" w:line="278" w:lineRule="auto"/>
    </w:pPr>
    <w:rPr>
      <w:rFonts w:ascii="等线" w:hAnsi="等线" w:eastAsia="等线" w:cs="Times New Roman"/>
      <w:kern w:val="2"/>
      <w:sz w:val="21"/>
      <w:szCs w:val="22"/>
      <w:lang w:val="en-US" w:eastAsia="zh-CN" w:bidi="ar-SA"/>
    </w:rPr>
  </w:style>
  <w:style w:type="character" w:customStyle="1" w:styleId="73">
    <w:name w:val="正文文本 Char"/>
    <w:basedOn w:val="34"/>
    <w:link w:val="13"/>
    <w:qFormat/>
    <w:uiPriority w:val="99"/>
    <w:rPr>
      <w:rFonts w:ascii="Arial Unicode MS" w:hAnsi="Arial Unicode MS" w:cs="Arial Unicode MS"/>
      <w:sz w:val="21"/>
      <w:szCs w:val="22"/>
      <w:lang w:val="zh-CN"/>
    </w:rPr>
  </w:style>
  <w:style w:type="paragraph" w:customStyle="1" w:styleId="74">
    <w:name w:val="修订3"/>
    <w:qFormat/>
    <w:uiPriority w:val="99"/>
    <w:rPr>
      <w:rFonts w:ascii="仿宋_GB2312" w:hAnsi="仿宋_GB2312" w:eastAsia="仿宋_GB2312" w:cs="仿宋_GB2312"/>
      <w:kern w:val="2"/>
      <w:sz w:val="32"/>
      <w:szCs w:val="32"/>
      <w:lang w:val="en-US" w:eastAsia="zh-CN" w:bidi="ar-SA"/>
    </w:rPr>
  </w:style>
  <w:style w:type="character" w:customStyle="1" w:styleId="75">
    <w:name w:val="font111"/>
    <w:basedOn w:val="34"/>
    <w:qFormat/>
    <w:uiPriority w:val="0"/>
    <w:rPr>
      <w:rFonts w:hint="eastAsia" w:ascii="宋体" w:hAnsi="宋体" w:eastAsia="宋体" w:cs="宋体"/>
      <w:b/>
      <w:bCs/>
      <w:color w:val="000000"/>
      <w:sz w:val="24"/>
      <w:szCs w:val="24"/>
      <w:u w:val="none"/>
    </w:rPr>
  </w:style>
  <w:style w:type="character" w:customStyle="1" w:styleId="76">
    <w:name w:val="font61"/>
    <w:basedOn w:val="34"/>
    <w:qFormat/>
    <w:uiPriority w:val="0"/>
    <w:rPr>
      <w:rFonts w:hint="eastAsia" w:ascii="宋体" w:hAnsi="宋体" w:eastAsia="宋体" w:cs="宋体"/>
      <w:color w:val="000000"/>
      <w:sz w:val="24"/>
      <w:szCs w:val="24"/>
      <w:u w:val="none"/>
    </w:rPr>
  </w:style>
  <w:style w:type="character" w:customStyle="1" w:styleId="77">
    <w:name w:val="font91"/>
    <w:basedOn w:val="34"/>
    <w:qFormat/>
    <w:uiPriority w:val="0"/>
    <w:rPr>
      <w:rFonts w:hint="eastAsia" w:ascii="宋体" w:hAnsi="宋体" w:eastAsia="宋体" w:cs="宋体"/>
      <w:color w:val="000000"/>
      <w:sz w:val="24"/>
      <w:szCs w:val="24"/>
      <w:u w:val="none"/>
    </w:rPr>
  </w:style>
  <w:style w:type="character" w:customStyle="1" w:styleId="78">
    <w:name w:val="font12"/>
    <w:basedOn w:val="34"/>
    <w:qFormat/>
    <w:uiPriority w:val="0"/>
    <w:rPr>
      <w:rFonts w:hint="default" w:ascii="Times New Roman" w:hAnsi="Times New Roman" w:cs="Times New Roman"/>
      <w:color w:val="000000"/>
      <w:sz w:val="24"/>
      <w:szCs w:val="24"/>
      <w:u w:val="none"/>
    </w:rPr>
  </w:style>
  <w:style w:type="character" w:customStyle="1" w:styleId="79">
    <w:name w:val="font122"/>
    <w:basedOn w:val="34"/>
    <w:qFormat/>
    <w:uiPriority w:val="0"/>
    <w:rPr>
      <w:rFonts w:hint="eastAsia" w:ascii="宋体" w:hAnsi="宋体" w:eastAsia="宋体" w:cs="宋体"/>
      <w:b/>
      <w:bCs/>
      <w:color w:val="000000"/>
      <w:sz w:val="24"/>
      <w:szCs w:val="24"/>
      <w:u w:val="none"/>
    </w:rPr>
  </w:style>
  <w:style w:type="paragraph" w:customStyle="1" w:styleId="80">
    <w:name w:val="修订4"/>
    <w:qFormat/>
    <w:uiPriority w:val="99"/>
    <w:rPr>
      <w:rFonts w:ascii="仿宋_GB2312" w:hAnsi="仿宋_GB2312" w:eastAsia="仿宋_GB2312" w:cs="仿宋_GB2312"/>
      <w:kern w:val="2"/>
      <w:sz w:val="32"/>
      <w:szCs w:val="32"/>
      <w:lang w:val="en-US" w:eastAsia="zh-CN" w:bidi="ar-SA"/>
    </w:rPr>
  </w:style>
  <w:style w:type="paragraph" w:customStyle="1" w:styleId="81">
    <w:name w:val="修订5"/>
    <w:qFormat/>
    <w:uiPriority w:val="99"/>
    <w:rPr>
      <w:rFonts w:ascii="仿宋_GB2312" w:hAns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3e0cfdec-0e32-4050-ab77-f4ccd1cfd6c9</errorID>
      <errorWord xmlns="http://schemas.wps.cn/vas-ai-hub/contract-review">先进制造产业集群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先进制造业集群</item>
      </candidateList>
      <explain xmlns="http://schemas.wps.cn/vas-ai-hub/contract-review">词汇“先进制造业集群”在特定场景下为固定表述形式，请确认此处的“先进制造产业集群”是否存在不当。</explain>
      <paraID xmlns="http://schemas.wps.cn/vas-ai-hub/contract-review">6C69DB1F</paraID>
      <start xmlns="http://schemas.wps.cn/vas-ai-hub/contract-review">8</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665e9bc6-7090-4b68-b8c4-de0865a9b5a6</errorID>
      <errorWord xmlns="http://schemas.wps.cn/vas-ai-hub/contract-review">增值税留抵退税等政策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增值税留抵退税政策</item>
      </candidateList>
      <explain xmlns="http://schemas.wps.cn/vas-ai-hub/contract-review">词汇“增值税留抵退税政策”在特定场景下为固定表述形式，请确认此处的“增值税留抵退税等政策”是否存在不当。</explain>
      <paraID xmlns="http://schemas.wps.cn/vas-ai-hub/contract-review">701205AC</paraID>
      <start xmlns="http://schemas.wps.cn/vas-ai-hub/contract-review">87</start>
      <end xmlns="http://schemas.wps.cn/vas-ai-hub/contract-review">97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9704cd5d-13d9-4c56-a9e8-0d5d9d4a5884</errorID>
      <errorWord xmlns="http://schemas.wps.cn/vas-ai-hub/contract-review">3%-5%</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3%—5%</item>
      </candidateList>
      <explain xmlns="http://schemas.wps.cn/vas-ai-hub/contract-review">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327B299E</paraID>
      <start xmlns="http://schemas.wps.cn/vas-ai-hub/contract-review">92</start>
      <end xmlns="http://schemas.wps.cn/vas-ai-hub/contract-review">97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b208bcbe-acea-489c-add8-199c44f8d0d5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139E3496</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a64889ca-c3e8-4f21-84c8-d08366e6233f</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40384A93</paraID>
      <start xmlns="http://schemas.wps.cn/vas-ai-hub/contract-review">3</start>
      <end xmlns="http://schemas.wps.cn/vas-ai-hub/contract-review">5</end>
      <status xmlns="http://schemas.wps.cn/vas-ai-hub/contract-review">modified</status>
      <modifiedWord xmlns="http://schemas.wps.cn/vas-ai-hub/contract-review">kW</modifiedWord>
      <trackRevisions xmlns="http://schemas.wps.cn/vas-ai-hub/contract-review">false</trackRevisions>
    </reviewItem>
    <reviewItem xmlns="http://schemas.wps.cn/vas-ai-hub/contract-review">
      <errorID xmlns="http://schemas.wps.cn/vas-ai-hub/contract-review">4ba1ca25-38a0-4ce0-a0a3-b77eb9a1f6d7</errorID>
      <errorWord xmlns="http://schemas.wps.cn/vas-ai-hub/contract-review">来自于</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来自</item>
      </candidateList>
      <explain xmlns="http://schemas.wps.cn/vas-ai-hub/contract-review"/>
      <paraID xmlns="http://schemas.wps.cn/vas-ai-hub/contract-review"> A99F726</paraID>
      <start xmlns="http://schemas.wps.cn/vas-ai-hub/contract-review">5</start>
      <end xmlns="http://schemas.wps.cn/vas-ai-hub/contract-review">7</end>
      <status xmlns="http://schemas.wps.cn/vas-ai-hub/contract-review">modified</status>
      <modifiedWord xmlns="http://schemas.wps.cn/vas-ai-hub/contract-review">来自</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386618-2116-4749-AA7A-3FC47190CDB5}">
  <ds:schemaRefs/>
</ds:datastoreItem>
</file>

<file path=customXml/itemProps3.xml><?xml version="1.0" encoding="utf-8"?>
<ds:datastoreItem xmlns:ds="http://schemas.openxmlformats.org/officeDocument/2006/customXml" ds:itemID="{8C34F747-C3D6-45D1-AFB8-F457006646E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14</Pages>
  <Words>855</Words>
  <Characters>4879</Characters>
  <Lines>40</Lines>
  <Paragraphs>11</Paragraphs>
  <TotalTime>33</TotalTime>
  <ScaleCrop>false</ScaleCrop>
  <LinksUpToDate>false</LinksUpToDate>
  <CharactersWithSpaces>5723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2026-07-03T08:25:00Z</dcterms:created>
  <dc:creator>wen wen</dc:creator>
  <cp:lastModifiedBy>user</cp:lastModifiedBy>
  <cp:lastPrinted>2026-07-26T12:02:00Z</cp:lastPrinted>
  <dcterms:modified xsi:type="dcterms:W3CDTF">2026-07-28T10:13:14Z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eyJoZGlkIjoiZDI1NWE5YTY1OTMyNzdmMzRhZTlkZTJjMzU3NTY5YTYiLCJ1c2VySWQiOiI0MjMyMjMyODAifQ==</vt:lpwstr>
  </property>
  <property fmtid="{D5CDD505-2E9C-101B-9397-08002B2CF9AE}" pid="3" name="KSOProductBuildVer">
    <vt:lpwstr>2052-11.8.2.1132</vt:lpwstr>
  </property>
  <property fmtid="{D5CDD505-2E9C-101B-9397-08002B2CF9AE}" pid="4" name="ICV">
    <vt:lpwstr>DCB83BC7662D59EC3A10686A49D7CB4F</vt:lpwstr>
  </property>
</Properties>
</file>