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《北京市博物馆条例（草案）》</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（征求意见稿）起草说明</w:t>
      </w:r>
    </w:p>
    <w:p/>
    <w:p/>
    <w:p>
      <w:pPr>
        <w:spacing w:line="560" w:lineRule="exact"/>
        <w:ind w:firstLine="640" w:firstLineChars="200"/>
        <w:rPr>
          <w:rFonts w:ascii="仿宋" w:hAnsi="仿宋" w:eastAsia="仿宋" w:cs="仿宋"/>
          <w:b/>
          <w:bCs/>
          <w:szCs w:val="32"/>
        </w:rPr>
      </w:pPr>
      <w:r>
        <w:rPr>
          <w:rFonts w:hint="eastAsia" w:ascii="黑体" w:hAnsi="黑体" w:eastAsia="黑体" w:cs="黑体"/>
          <w:b w:val="0"/>
          <w:bCs w:val="0"/>
          <w:szCs w:val="32"/>
        </w:rPr>
        <w:t>一、立法背景</w:t>
      </w:r>
      <w:r>
        <w:rPr>
          <w:rFonts w:ascii="Cambria Math" w:hAnsi="Cambria Math" w:eastAsia="仿宋" w:cs="Cambria Math"/>
          <w:b/>
          <w:bCs/>
          <w:szCs w:val="32"/>
        </w:rPr>
        <w:t>​</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（一）落实上位法与中央精神的要求</w:t>
      </w:r>
    </w:p>
    <w:p>
      <w:pPr>
        <w:spacing w:line="560" w:lineRule="exact"/>
        <w:ind w:firstLine="640" w:firstLineChars="200"/>
        <w:rPr>
          <w:rFonts w:ascii="仿宋" w:hAnsi="仿宋" w:eastAsia="仿宋" w:cs="仿宋"/>
          <w:szCs w:val="32"/>
        </w:rPr>
      </w:pPr>
      <w:r>
        <w:rPr>
          <w:rFonts w:hint="eastAsia" w:ascii="仿宋" w:hAnsi="仿宋" w:eastAsia="仿宋" w:cs="仿宋"/>
          <w:szCs w:val="32"/>
        </w:rPr>
        <w:t>博物馆是保护和传承人类文明的重要场所，是连接过去、现在、未来的桥梁。近年来，习近平总书记多次就博物馆工作作出重要指示批示，国务院有关部门修订《中华人民共和国文物保护法》，也对博物馆工作提出更高要求。制定《北京市博物馆条例》（以下简称《条例》），是深入贯彻落实习近平文化思想和总书记重要指示批示精神，将中央关于文化遗产系统性、整体性保护和现代公共文化服务体系建设的要求转化为首都具体实践的必然举措。</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（二）解决本市博物馆发展与管理中突出问题的需要</w:t>
      </w:r>
    </w:p>
    <w:p>
      <w:pPr>
        <w:spacing w:line="560" w:lineRule="exact"/>
        <w:ind w:firstLine="640" w:firstLineChars="200"/>
        <w:rPr>
          <w:rFonts w:ascii="仿宋" w:hAnsi="仿宋" w:eastAsia="仿宋" w:cs="仿宋"/>
          <w:szCs w:val="32"/>
        </w:rPr>
      </w:pPr>
      <w:r>
        <w:rPr>
          <w:rFonts w:hint="eastAsia" w:ascii="仿宋" w:hAnsi="仿宋" w:eastAsia="仿宋" w:cs="仿宋"/>
          <w:szCs w:val="32"/>
        </w:rPr>
        <w:t>北京博物馆资源丰富、体系完整，在全国文化中心建设和文化软实力提升中具有重要地位。随着经济社会快速发展，我市原有的博物馆地方立法已于2016年废止，现行管理模式已难以适应新时期发展要求，主要问题体现在：一是统筹协调机制不够健全，央地、市区、部门间协同联动不足，博物馆体系布局与城市发展需求适配性有待提升；二是发展促进机制不够完善，央属、市属、区属，国企、高校博物馆分类指导还需进一步完善，国有博物馆改革体制机制活力有待进一步释放，非国有博物馆发展支持力度不足，类博物馆等新兴形态管理规范层级较低，志愿者服务、社会捐赠等激励保障机制需进一步优化；三是文化传承与活化利用深度不足，展览内容创新、数字赋能水平、文创开发质量有待提高，文旅融合、跨界联动的广度和深度不够；四是管理精细化水平有待加强，部分博物馆在藏品管理、展览策划、服务规范等方面存在短板；五是法律责任体系不够完备，对违法使用博物馆名称、违规开展商业活动等行为的监管和处罚力度有待强化。原有管理规范已难以适应新形势新要求，亟需通过立法构建系统完备、科学规范、权责清晰的制度体系。</w:t>
      </w:r>
    </w:p>
    <w:p>
      <w:pPr>
        <w:spacing w:line="560" w:lineRule="exact"/>
        <w:ind w:firstLine="640" w:firstLineChars="200"/>
        <w:rPr>
          <w:rFonts w:hint="eastAsia" w:ascii="楷体_GB2312" w:hAnsi="楷体_GB2312" w:eastAsia="楷体_GB2312" w:cs="楷体_GB2312"/>
          <w:b w:val="0"/>
          <w:bCs w:val="0"/>
          <w:szCs w:val="32"/>
          <w:lang w:eastAsia="zh-CN"/>
        </w:rPr>
      </w:pPr>
      <w:r>
        <w:rPr>
          <w:rFonts w:hint="eastAsia" w:ascii="楷体_GB2312" w:hAnsi="楷体_GB2312" w:eastAsia="楷体_GB2312" w:cs="楷体_GB2312"/>
          <w:b w:val="0"/>
          <w:bCs w:val="0"/>
          <w:szCs w:val="32"/>
        </w:rPr>
        <w:t>（三）建设博物馆之城与满足市民精神文化需求的</w:t>
      </w:r>
      <w:r>
        <w:rPr>
          <w:rFonts w:hint="eastAsia" w:ascii="楷体_GB2312" w:hAnsi="楷体_GB2312" w:eastAsia="楷体_GB2312" w:cs="楷体_GB2312"/>
          <w:b w:val="0"/>
          <w:bCs w:val="0"/>
          <w:szCs w:val="32"/>
          <w:lang w:eastAsia="zh-CN"/>
        </w:rPr>
        <w:t>有力保障</w:t>
      </w:r>
    </w:p>
    <w:p>
      <w:pPr>
        <w:spacing w:line="560" w:lineRule="exact"/>
        <w:ind w:firstLine="640" w:firstLineChars="200"/>
        <w:rPr>
          <w:rFonts w:ascii="仿宋" w:hAnsi="仿宋" w:eastAsia="仿宋" w:cs="仿宋"/>
          <w:szCs w:val="32"/>
        </w:rPr>
      </w:pPr>
      <w:r>
        <w:rPr>
          <w:rFonts w:hint="eastAsia" w:ascii="仿宋" w:hAnsi="仿宋" w:eastAsia="仿宋" w:cs="仿宋"/>
          <w:szCs w:val="32"/>
        </w:rPr>
        <w:t>建设彰显首都风范、古都风韵、时代风貌的博物馆之城，是北京推进全国文化中心建设的重要任务，也是满足市民日益增长的精神文化需求的重要工程。当前，市民对高质量公共文化服务的需求持续提升，对博物馆的展览品质、服务体验、互动形式等提出了更高期待。通过立法明确博物馆事业发展的目标方向、基本原则和保障措施，能够有效推动博物馆与城市规划、文化、旅游、教育、科技等领域深度融合，优化博物馆布局，提升服务效能，让博物馆更好地融入市民生活，为市民提供更加丰富、便捷、优质的文化产品和服务，不断增强人民群众的文化获得感、幸福感。</w:t>
      </w:r>
    </w:p>
    <w:p>
      <w:pPr>
        <w:numPr>
          <w:ilvl w:val="0"/>
          <w:numId w:val="0"/>
        </w:numPr>
        <w:spacing w:line="560" w:lineRule="exact"/>
        <w:ind w:firstLine="640" w:firstLineChars="200"/>
        <w:rPr>
          <w:rFonts w:ascii="Cambria Math" w:hAnsi="Cambria Math" w:eastAsia="仿宋" w:cs="Cambria Math"/>
          <w:b/>
          <w:bCs/>
          <w:szCs w:val="32"/>
        </w:rPr>
      </w:pPr>
      <w:r>
        <w:rPr>
          <w:rFonts w:hint="eastAsia" w:ascii="黑体" w:hAnsi="黑体" w:eastAsia="黑体" w:cs="黑体"/>
          <w:b w:val="0"/>
          <w:bCs w:val="0"/>
          <w:szCs w:val="32"/>
          <w:lang w:eastAsia="zh-CN"/>
        </w:rPr>
        <w:t>二、</w:t>
      </w:r>
      <w:r>
        <w:rPr>
          <w:rFonts w:hint="eastAsia" w:ascii="黑体" w:hAnsi="黑体" w:eastAsia="黑体" w:cs="黑体"/>
          <w:b w:val="0"/>
          <w:bCs w:val="0"/>
          <w:szCs w:val="32"/>
        </w:rPr>
        <w:t>主要内容和特色亮点</w:t>
      </w:r>
      <w:r>
        <w:rPr>
          <w:rFonts w:ascii="Cambria Math" w:hAnsi="Cambria Math" w:eastAsia="仿宋" w:cs="Cambria Math"/>
          <w:b/>
          <w:bCs/>
          <w:szCs w:val="32"/>
        </w:rPr>
        <w:t>​</w:t>
      </w:r>
    </w:p>
    <w:p>
      <w:pPr>
        <w:spacing w:line="560" w:lineRule="exact"/>
        <w:ind w:firstLine="640" w:firstLineChars="200"/>
        <w:rPr>
          <w:rFonts w:ascii="仿宋" w:hAnsi="仿宋" w:eastAsia="仿宋" w:cs="仿宋"/>
          <w:szCs w:val="32"/>
        </w:rPr>
      </w:pPr>
      <w:r>
        <w:rPr>
          <w:rFonts w:hint="eastAsia" w:ascii="仿宋" w:hAnsi="仿宋" w:eastAsia="仿宋" w:cs="仿宋"/>
          <w:szCs w:val="32"/>
        </w:rPr>
        <w:t>《北京市博物馆条例（草案）》（征求意见稿）共六章四十八条，立足首都城市战略定位，聚焦博物馆之城建设与博物馆事业高质量发展，主要内容和特色亮点如下：</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（一）构建统筹协同的发展格局，夯实博物馆之城建设基础</w:t>
      </w:r>
    </w:p>
    <w:p>
      <w:pPr>
        <w:spacing w:line="560" w:lineRule="exact"/>
        <w:ind w:firstLine="642" w:firstLineChars="200"/>
        <w:rPr>
          <w:rFonts w:ascii="仿宋" w:hAnsi="仿宋" w:eastAsia="仿宋" w:cs="仿宋"/>
          <w:szCs w:val="32"/>
        </w:rPr>
      </w:pPr>
      <w:r>
        <w:rPr>
          <w:rFonts w:hint="eastAsia" w:ascii="仿宋" w:hAnsi="仿宋" w:eastAsia="仿宋" w:cs="仿宋"/>
          <w:b/>
          <w:bCs/>
          <w:szCs w:val="32"/>
        </w:rPr>
        <w:t>一是明确顶层设计，</w:t>
      </w:r>
      <w:r>
        <w:rPr>
          <w:rFonts w:hint="eastAsia" w:ascii="仿宋" w:hAnsi="仿宋" w:eastAsia="仿宋" w:cs="仿宋"/>
          <w:szCs w:val="32"/>
        </w:rPr>
        <w:t>以高水平建设博物馆之城、丰富群众精神文化生活、推动事业高质量发展、推进全国文化中心建设为目标，确立坚持党的领导、以人民为中心、社会主义核心价值观引领的基本原则，突出公益属性与社会效益，坚持科学规划、统筹协调、守正创新、馆城融合，将博物馆事业纳入国民经济和社会发展规划，建立央地协同、区域协作、市区联动、部门合作的协同发展机制，形成齐抓共管的工作格局。</w:t>
      </w:r>
      <w:r>
        <w:rPr>
          <w:rFonts w:hint="eastAsia" w:ascii="仿宋" w:hAnsi="仿宋" w:eastAsia="仿宋" w:cs="仿宋"/>
          <w:b/>
          <w:bCs/>
          <w:szCs w:val="32"/>
        </w:rPr>
        <w:t>二是强化博物馆之城建设与赋能作用，</w:t>
      </w:r>
      <w:r>
        <w:rPr>
          <w:rFonts w:hint="eastAsia" w:ascii="仿宋" w:hAnsi="仿宋" w:eastAsia="仿宋" w:cs="仿宋"/>
          <w:szCs w:val="32"/>
        </w:rPr>
        <w:t>推动博物馆与城市规划建设及文化、旅游、教育、科技、商业、体育、会展等领域深度融合，增强博物馆对城市高质量发展的支撑赋能作用，赓续城市文脉、助推经济发展、维护社会和谐、服务群众生活。</w:t>
      </w:r>
      <w:r>
        <w:rPr>
          <w:rFonts w:hint="eastAsia" w:ascii="仿宋" w:hAnsi="仿宋" w:eastAsia="仿宋" w:cs="仿宋"/>
          <w:b/>
          <w:bCs/>
          <w:szCs w:val="32"/>
        </w:rPr>
        <w:t>三是深化内外交流合作，</w:t>
      </w:r>
      <w:r>
        <w:rPr>
          <w:rFonts w:hint="eastAsia" w:ascii="仿宋" w:hAnsi="仿宋" w:eastAsia="仿宋" w:cs="仿宋"/>
          <w:szCs w:val="32"/>
        </w:rPr>
        <w:t>推动跨省区协作，重点加强京津冀博物馆联动共建；加强国际交流，鼓励与境外文博机构互学互鉴，提升中华文化国际影响力。</w:t>
      </w:r>
      <w:r>
        <w:rPr>
          <w:rFonts w:hint="eastAsia" w:ascii="仿宋" w:hAnsi="仿宋" w:eastAsia="仿宋" w:cs="仿宋"/>
          <w:b/>
          <w:bCs/>
          <w:szCs w:val="32"/>
        </w:rPr>
        <w:t>四是强化社会参与支撑，</w:t>
      </w:r>
      <w:r>
        <w:rPr>
          <w:rFonts w:hint="eastAsia" w:ascii="仿宋" w:hAnsi="仿宋" w:eastAsia="仿宋" w:cs="仿宋"/>
          <w:szCs w:val="32"/>
        </w:rPr>
        <w:t>加强行业组织建设，推动行业自律、专业培训与馆际合作；鼓励社会力量兴办、捐赠、支持博物馆发展，依法享受税收优惠。</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（二）优化全域一体的体系布局，推动博物馆事业均衡特色发展</w:t>
      </w:r>
    </w:p>
    <w:p>
      <w:pPr>
        <w:spacing w:line="560" w:lineRule="exact"/>
        <w:ind w:firstLine="642" w:firstLineChars="200"/>
        <w:rPr>
          <w:rFonts w:ascii="仿宋" w:hAnsi="仿宋" w:eastAsia="仿宋" w:cs="仿宋"/>
          <w:szCs w:val="32"/>
        </w:rPr>
      </w:pPr>
      <w:r>
        <w:rPr>
          <w:rFonts w:hint="eastAsia" w:ascii="仿宋" w:hAnsi="仿宋" w:eastAsia="仿宋" w:cs="仿宋"/>
          <w:b/>
          <w:bCs/>
          <w:szCs w:val="32"/>
        </w:rPr>
        <w:t>一是优化体系布局，</w:t>
      </w:r>
      <w:r>
        <w:rPr>
          <w:rFonts w:hint="eastAsia" w:ascii="仿宋" w:hAnsi="仿宋" w:eastAsia="仿宋" w:cs="仿宋"/>
          <w:szCs w:val="32"/>
        </w:rPr>
        <w:t>统筹各级各类博物馆协调发展，构建布局合理、结构优化、特色鲜明、功能完备、体制完善的博物馆体系，推动建设代表国家形象、引领事业发展、具备国际影响力的高水平博物馆，重点培育弘扬古都文化、红色文化、京味文化、创新文化的特色博物馆，鼓励设立填补区域与门类空白的精品博物馆，坚持规划引领、规模适当、经济适用、安全节能，避免重复低效建设。</w:t>
      </w:r>
      <w:r>
        <w:rPr>
          <w:rFonts w:hint="eastAsia" w:ascii="仿宋" w:hAnsi="仿宋" w:eastAsia="仿宋" w:cs="仿宋"/>
          <w:b/>
          <w:bCs/>
          <w:szCs w:val="32"/>
        </w:rPr>
        <w:t>二是明确分级分类发展指引，</w:t>
      </w:r>
      <w:r>
        <w:rPr>
          <w:rFonts w:hint="eastAsia" w:ascii="仿宋" w:hAnsi="仿宋" w:eastAsia="仿宋" w:cs="仿宋"/>
          <w:szCs w:val="32"/>
        </w:rPr>
        <w:t>对各级各类博物馆提出差异化保障措施，加大对央属博物馆及军队所属博物馆指导服务，支持市属、区属国有博物馆特色化、专业化发展，指引高校、国有企业博物馆常态化向公众开放；对国有与非国有博物馆公平对待、规范与扶持并举，完善保障支持体系。</w:t>
      </w:r>
      <w:r>
        <w:rPr>
          <w:rFonts w:hint="eastAsia" w:ascii="仿宋" w:hAnsi="仿宋" w:eastAsia="仿宋" w:cs="仿宋"/>
          <w:b/>
          <w:bCs/>
          <w:szCs w:val="32"/>
        </w:rPr>
        <w:t>三是创新类博物馆培育机制，</w:t>
      </w:r>
      <w:r>
        <w:rPr>
          <w:rFonts w:hint="eastAsia" w:ascii="仿宋" w:hAnsi="仿宋" w:eastAsia="仿宋" w:cs="仿宋"/>
          <w:szCs w:val="32"/>
        </w:rPr>
        <w:t>将未达备案条件的类博物馆纳入行业指导与孵化培育，提供专业指导，填补行业管理空白。</w:t>
      </w:r>
      <w:r>
        <w:rPr>
          <w:rFonts w:hint="eastAsia" w:ascii="仿宋" w:hAnsi="仿宋" w:eastAsia="仿宋" w:cs="仿宋"/>
          <w:b/>
          <w:bCs/>
          <w:szCs w:val="32"/>
        </w:rPr>
        <w:t>四是深化馆城跨界融合发展，</w:t>
      </w:r>
      <w:r>
        <w:rPr>
          <w:rFonts w:hint="eastAsia" w:ascii="仿宋" w:hAnsi="仿宋" w:eastAsia="仿宋" w:cs="仿宋"/>
          <w:szCs w:val="32"/>
        </w:rPr>
        <w:t>支持利用文物建筑、老旧厂房等兴办博物馆，在公共空间打造文博展示窗口，推出博物馆主题旅游游径，促进文商旅体展深度融合发展。</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（三）强化优质普惠的</w:t>
      </w:r>
      <w:r>
        <w:rPr>
          <w:rFonts w:hint="eastAsia" w:ascii="楷体_GB2312" w:hAnsi="楷体_GB2312" w:eastAsia="楷体_GB2312" w:cs="楷体_GB2312"/>
          <w:b w:val="0"/>
          <w:bCs w:val="0"/>
          <w:szCs w:val="32"/>
          <w:lang w:eastAsia="zh-CN"/>
        </w:rPr>
        <w:t>社会</w:t>
      </w:r>
      <w:r>
        <w:rPr>
          <w:rFonts w:hint="eastAsia" w:ascii="楷体_GB2312" w:hAnsi="楷体_GB2312" w:eastAsia="楷体_GB2312" w:cs="楷体_GB2312"/>
          <w:b w:val="0"/>
          <w:bCs w:val="0"/>
          <w:szCs w:val="32"/>
        </w:rPr>
        <w:t>服务，满足公众多元精神文化需求</w:t>
      </w:r>
    </w:p>
    <w:p>
      <w:pPr>
        <w:spacing w:line="560" w:lineRule="exact"/>
        <w:ind w:firstLine="642" w:firstLineChars="200"/>
        <w:rPr>
          <w:rFonts w:ascii="仿宋" w:hAnsi="仿宋" w:eastAsia="仿宋" w:cs="仿宋"/>
          <w:szCs w:val="32"/>
        </w:rPr>
      </w:pPr>
      <w:r>
        <w:rPr>
          <w:rFonts w:hint="eastAsia" w:ascii="仿宋" w:hAnsi="仿宋" w:eastAsia="仿宋" w:cs="仿宋"/>
          <w:b/>
          <w:bCs/>
          <w:szCs w:val="32"/>
        </w:rPr>
        <w:t>一是规范开放服务标准，</w:t>
      </w:r>
      <w:r>
        <w:rPr>
          <w:rFonts w:hint="eastAsia" w:ascii="仿宋" w:hAnsi="仿宋" w:eastAsia="仿宋" w:cs="仿宋"/>
          <w:szCs w:val="32"/>
        </w:rPr>
        <w:t>明确国有博物馆年开放不少于 300天，非国有</w:t>
      </w:r>
      <w:bookmarkStart w:id="0" w:name="_GoBack"/>
      <w:bookmarkEnd w:id="0"/>
      <w:r>
        <w:rPr>
          <w:rFonts w:hint="eastAsia" w:ascii="仿宋" w:hAnsi="仿宋" w:eastAsia="仿宋" w:cs="仿宋"/>
          <w:szCs w:val="32"/>
        </w:rPr>
        <w:t>博物馆年开放不少于 240天，鼓励运行保障成熟的博物馆在国家法定节假日和学校寒暑假期间延时开放，鼓励博物馆适应群众作息规律和参观需求，灵活错时开放；完善无障碍与多语种服务，保障老年人、残疾人、未成年人等群体参观便利。</w:t>
      </w:r>
      <w:r>
        <w:rPr>
          <w:rFonts w:hint="eastAsia" w:ascii="仿宋" w:hAnsi="仿宋" w:eastAsia="仿宋" w:cs="仿宋"/>
          <w:b/>
          <w:bCs/>
          <w:szCs w:val="32"/>
        </w:rPr>
        <w:t>二是提升展览策展水平，</w:t>
      </w:r>
      <w:r>
        <w:rPr>
          <w:rFonts w:hint="eastAsia" w:ascii="仿宋" w:hAnsi="仿宋" w:eastAsia="仿宋" w:cs="仿宋"/>
          <w:szCs w:val="32"/>
        </w:rPr>
        <w:t>要求博物馆制定展览计划，打造特色基本陈列并动态调整，定期举办原创临时展览，建立策展人制度，可引入社会策展人，规范展览备案与评审。</w:t>
      </w:r>
      <w:r>
        <w:rPr>
          <w:rFonts w:hint="eastAsia" w:ascii="仿宋" w:hAnsi="仿宋" w:eastAsia="仿宋" w:cs="仿宋"/>
          <w:b/>
          <w:bCs/>
          <w:szCs w:val="32"/>
        </w:rPr>
        <w:t>三是优化讲解服务供给，</w:t>
      </w:r>
      <w:r>
        <w:rPr>
          <w:rFonts w:hint="eastAsia" w:ascii="仿宋" w:hAnsi="仿宋" w:eastAsia="仿宋" w:cs="仿宋"/>
          <w:szCs w:val="32"/>
        </w:rPr>
        <w:t>配备专业讲解队伍，在固定时段提供免费人工讲解，鼓励公益讲解，规范社会讲解准入，严禁歪曲历史、违背公序良俗等违规讲解。</w:t>
      </w:r>
      <w:r>
        <w:rPr>
          <w:rFonts w:hint="eastAsia" w:ascii="仿宋" w:hAnsi="仿宋" w:eastAsia="仿宋" w:cs="仿宋"/>
          <w:b/>
          <w:bCs/>
          <w:szCs w:val="32"/>
        </w:rPr>
        <w:t>四是深化社会教育功能，</w:t>
      </w:r>
      <w:r>
        <w:rPr>
          <w:rFonts w:hint="eastAsia" w:ascii="仿宋" w:hAnsi="仿宋" w:eastAsia="仿宋" w:cs="仿宋"/>
          <w:szCs w:val="32"/>
        </w:rPr>
        <w:t>推动馆校合作开发课程化活动，组织学生研学实践，发挥博物馆社会教育作用。</w:t>
      </w:r>
      <w:r>
        <w:rPr>
          <w:rFonts w:hint="eastAsia" w:ascii="仿宋" w:hAnsi="仿宋" w:eastAsia="仿宋" w:cs="仿宋"/>
          <w:b/>
          <w:bCs/>
          <w:szCs w:val="32"/>
        </w:rPr>
        <w:t>五是鼓励文创产业发展，</w:t>
      </w:r>
      <w:r>
        <w:rPr>
          <w:rFonts w:hint="eastAsia" w:ascii="仿宋" w:hAnsi="仿宋" w:eastAsia="仿宋" w:cs="仿宋"/>
          <w:szCs w:val="32"/>
        </w:rPr>
        <w:t>支持博物馆结合馆藏资源开发文创产品、研学项目等，明确收入使用规范，实现社会效益与经济效益相统一。</w:t>
      </w:r>
      <w:r>
        <w:rPr>
          <w:rFonts w:hint="eastAsia" w:ascii="仿宋" w:hAnsi="仿宋" w:eastAsia="仿宋" w:cs="仿宋"/>
          <w:b/>
          <w:bCs/>
          <w:szCs w:val="32"/>
        </w:rPr>
        <w:t>六是完善志愿服务体系建设，</w:t>
      </w:r>
      <w:r>
        <w:rPr>
          <w:rFonts w:hint="eastAsia" w:ascii="仿宋" w:hAnsi="仿宋" w:eastAsia="仿宋" w:cs="仿宋"/>
          <w:szCs w:val="32"/>
        </w:rPr>
        <w:t>建立志愿服务机制，做好培训、激励与保障，引导社会力量有序参与博物馆服务。</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（四）健全规范精细的管理体系，提升博物馆行业治理水平</w:t>
      </w:r>
    </w:p>
    <w:p>
      <w:pPr>
        <w:spacing w:line="560" w:lineRule="exact"/>
        <w:ind w:firstLine="642" w:firstLineChars="200"/>
        <w:rPr>
          <w:rFonts w:ascii="仿宋" w:hAnsi="仿宋" w:eastAsia="仿宋" w:cs="仿宋"/>
          <w:szCs w:val="32"/>
        </w:rPr>
      </w:pPr>
      <w:r>
        <w:rPr>
          <w:rFonts w:hint="eastAsia" w:ascii="仿宋" w:hAnsi="仿宋" w:eastAsia="仿宋" w:cs="仿宋"/>
          <w:b/>
          <w:bCs/>
          <w:szCs w:val="32"/>
        </w:rPr>
        <w:t>一是完善准入退出管理机制，</w:t>
      </w:r>
      <w:r>
        <w:rPr>
          <w:rFonts w:hint="eastAsia" w:ascii="仿宋" w:hAnsi="仿宋" w:eastAsia="仿宋" w:cs="仿宋"/>
          <w:szCs w:val="32"/>
        </w:rPr>
        <w:t>明确博物馆设立、变更、终止的登记备案流程，建立博物馆名录动态管理制度，及时公布更新并规范移出退出，未经备案登记不得使用博物馆名义开展活动。</w:t>
      </w:r>
      <w:r>
        <w:rPr>
          <w:rFonts w:hint="eastAsia" w:ascii="仿宋" w:hAnsi="仿宋" w:eastAsia="仿宋" w:cs="仿宋"/>
          <w:b/>
          <w:bCs/>
          <w:szCs w:val="32"/>
        </w:rPr>
        <w:t>二是严格藏品管理，</w:t>
      </w:r>
      <w:r>
        <w:rPr>
          <w:rFonts w:hint="eastAsia" w:ascii="仿宋" w:hAnsi="仿宋" w:eastAsia="仿宋" w:cs="仿宋"/>
          <w:szCs w:val="32"/>
        </w:rPr>
        <w:t>规范藏品取得、鉴定评估、入藏建档、保管清点、退出处置等环节，建立藏品账目档案并接入智慧管理平台，严禁账外藏品，确保来源合法、安全可控。</w:t>
      </w:r>
      <w:r>
        <w:rPr>
          <w:rFonts w:hint="eastAsia" w:ascii="仿宋" w:hAnsi="仿宋" w:eastAsia="仿宋" w:cs="仿宋"/>
          <w:b/>
          <w:bCs/>
          <w:szCs w:val="32"/>
        </w:rPr>
        <w:t>三是压实安全管理主体责任，</w:t>
      </w:r>
      <w:r>
        <w:rPr>
          <w:rFonts w:hint="eastAsia" w:ascii="仿宋" w:hAnsi="仿宋" w:eastAsia="仿宋" w:cs="仿宋"/>
          <w:szCs w:val="32"/>
        </w:rPr>
        <w:t>明确博物馆法定代表人或主要负责人对博物馆安全负责，建立安全检查与隐患排查机制，完善突发事件应急处置流程。</w:t>
      </w:r>
      <w:r>
        <w:rPr>
          <w:rFonts w:hint="eastAsia" w:ascii="仿宋" w:hAnsi="仿宋" w:eastAsia="仿宋" w:cs="仿宋"/>
          <w:b/>
          <w:bCs/>
          <w:szCs w:val="32"/>
        </w:rPr>
        <w:t>四是强化科研与人才支撑保障，</w:t>
      </w:r>
      <w:r>
        <w:rPr>
          <w:rFonts w:hint="eastAsia" w:ascii="仿宋" w:hAnsi="仿宋" w:eastAsia="仿宋" w:cs="仿宋"/>
          <w:szCs w:val="32"/>
        </w:rPr>
        <w:t>支持研究型博物馆建设，推动馆校、馆研合作；健全人才培养、引进、激励机制，明确关键岗位专业能力与培训要求。</w:t>
      </w:r>
      <w:r>
        <w:rPr>
          <w:rFonts w:hint="eastAsia" w:ascii="仿宋" w:hAnsi="仿宋" w:eastAsia="仿宋" w:cs="仿宋"/>
          <w:b/>
          <w:bCs/>
          <w:szCs w:val="32"/>
        </w:rPr>
        <w:t>五是推进智慧博物馆建设，</w:t>
      </w:r>
      <w:r>
        <w:rPr>
          <w:rFonts w:hint="eastAsia" w:ascii="仿宋" w:hAnsi="仿宋" w:eastAsia="仿宋" w:cs="仿宋"/>
          <w:szCs w:val="32"/>
        </w:rPr>
        <w:t>鼓励博物馆运用大数据、云计算、人工智能、虚拟现实等现代技术手段，提升智慧保护、智慧管理、智慧服务水平。</w:t>
      </w:r>
    </w:p>
    <w:p>
      <w:pPr>
        <w:spacing w:line="560" w:lineRule="exact"/>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（五）健全权责清晰的法律责任，强化条例实施刚性约束</w:t>
      </w:r>
    </w:p>
    <w:p>
      <w:pPr>
        <w:keepNext w:val="0"/>
        <w:keepLines w:val="0"/>
        <w:widowControl/>
        <w:suppressLineNumbers w:val="0"/>
        <w:ind w:firstLine="642" w:firstLineChars="200"/>
        <w:jc w:val="left"/>
        <w:rPr>
          <w:rFonts w:ascii="仿宋" w:hAnsi="仿宋" w:eastAsia="仿宋" w:cs="仿宋"/>
          <w:b/>
          <w:bCs/>
          <w:szCs w:val="32"/>
        </w:rPr>
      </w:pPr>
      <w:r>
        <w:rPr>
          <w:rFonts w:hint="eastAsia" w:ascii="仿宋" w:hAnsi="仿宋" w:eastAsia="仿宋" w:cs="仿宋"/>
          <w:b/>
          <w:bCs/>
          <w:szCs w:val="32"/>
        </w:rPr>
        <w:t>明确违法违规行为处罚标准，</w:t>
      </w:r>
      <w:r>
        <w:rPr>
          <w:rFonts w:hint="eastAsia" w:ascii="仿宋" w:hAnsi="仿宋" w:eastAsia="仿宋" w:cs="仿宋"/>
          <w:szCs w:val="32"/>
        </w:rPr>
        <w:t>对博物馆未按照规定办理陈列展览备案手续的；未经备案或已退出备案擅自使用“博物馆”名称开展活动</w:t>
      </w:r>
      <w:r>
        <w:rPr>
          <w:rFonts w:hint="eastAsia" w:ascii="仿宋" w:hAnsi="仿宋" w:eastAsia="仿宋" w:cs="仿宋"/>
          <w:szCs w:val="32"/>
          <w:lang w:eastAsia="zh-CN"/>
        </w:rPr>
        <w:t>，</w:t>
      </w:r>
      <w:r>
        <w:rPr>
          <w:rFonts w:hint="eastAsia" w:ascii="仿宋" w:hAnsi="仿宋" w:eastAsia="仿宋" w:cs="仿宋"/>
          <w:szCs w:val="32"/>
          <w:lang w:val="en-US" w:eastAsia="zh-CN"/>
        </w:rPr>
        <w:t>造成不良社会影响</w:t>
      </w:r>
      <w:r>
        <w:rPr>
          <w:rFonts w:hint="eastAsia" w:ascii="仿宋" w:hAnsi="仿宋" w:eastAsia="仿宋" w:cs="仿宋"/>
          <w:szCs w:val="32"/>
        </w:rPr>
        <w:t>的；违规开展商业讲解或讲解内容歪曲历史、违反社会主义核心价值观，情节严重的，设定相应罚款、</w:t>
      </w:r>
      <w:r>
        <w:rPr>
          <w:rFonts w:hint="eastAsia" w:ascii="仿宋" w:hAnsi="仿宋" w:eastAsia="仿宋" w:cs="仿宋"/>
          <w:szCs w:val="32"/>
          <w:lang w:eastAsia="zh-CN"/>
        </w:rPr>
        <w:t>通报</w:t>
      </w:r>
      <w:r>
        <w:rPr>
          <w:rFonts w:hint="eastAsia" w:ascii="仿宋" w:hAnsi="仿宋" w:eastAsia="仿宋" w:cs="仿宋"/>
          <w:szCs w:val="32"/>
        </w:rPr>
        <w:t>等处罚措施。</w:t>
      </w: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pPr>
        <w:spacing w:line="560" w:lineRule="exact"/>
        <w:rPr>
          <w:rFonts w:ascii="Cambria Math" w:hAnsi="Cambria Math" w:eastAsia="仿宋" w:cs="Cambria Math"/>
          <w:b/>
          <w:bCs/>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C7"/>
    <w:rsid w:val="00030791"/>
    <w:rsid w:val="00043614"/>
    <w:rsid w:val="000515F9"/>
    <w:rsid w:val="0005435B"/>
    <w:rsid w:val="00092FD7"/>
    <w:rsid w:val="000C6180"/>
    <w:rsid w:val="000D4A66"/>
    <w:rsid w:val="00121BFE"/>
    <w:rsid w:val="001361F9"/>
    <w:rsid w:val="00164D19"/>
    <w:rsid w:val="00193401"/>
    <w:rsid w:val="001B1015"/>
    <w:rsid w:val="001B2F44"/>
    <w:rsid w:val="001E2A61"/>
    <w:rsid w:val="001E4C4E"/>
    <w:rsid w:val="001F5FA0"/>
    <w:rsid w:val="002668AB"/>
    <w:rsid w:val="002B6148"/>
    <w:rsid w:val="002F0DF3"/>
    <w:rsid w:val="002F3765"/>
    <w:rsid w:val="002F559B"/>
    <w:rsid w:val="00324C47"/>
    <w:rsid w:val="00331931"/>
    <w:rsid w:val="00340E65"/>
    <w:rsid w:val="003540C7"/>
    <w:rsid w:val="0035489C"/>
    <w:rsid w:val="0043338A"/>
    <w:rsid w:val="0044752B"/>
    <w:rsid w:val="004544C0"/>
    <w:rsid w:val="00454676"/>
    <w:rsid w:val="00456C08"/>
    <w:rsid w:val="0046283F"/>
    <w:rsid w:val="004900D1"/>
    <w:rsid w:val="004E147B"/>
    <w:rsid w:val="004E66D2"/>
    <w:rsid w:val="0051248D"/>
    <w:rsid w:val="00514E5F"/>
    <w:rsid w:val="00531784"/>
    <w:rsid w:val="0055632C"/>
    <w:rsid w:val="005C7562"/>
    <w:rsid w:val="005E5C19"/>
    <w:rsid w:val="006017E5"/>
    <w:rsid w:val="00622DF4"/>
    <w:rsid w:val="00682C9B"/>
    <w:rsid w:val="006D5B33"/>
    <w:rsid w:val="006E2BE0"/>
    <w:rsid w:val="006F2217"/>
    <w:rsid w:val="00723C61"/>
    <w:rsid w:val="00760062"/>
    <w:rsid w:val="007863AC"/>
    <w:rsid w:val="00787A0E"/>
    <w:rsid w:val="007B1F0F"/>
    <w:rsid w:val="007E70F4"/>
    <w:rsid w:val="008C551C"/>
    <w:rsid w:val="008E270A"/>
    <w:rsid w:val="0090418B"/>
    <w:rsid w:val="00960CD0"/>
    <w:rsid w:val="00963081"/>
    <w:rsid w:val="009711D2"/>
    <w:rsid w:val="00A03985"/>
    <w:rsid w:val="00A37B51"/>
    <w:rsid w:val="00A435DD"/>
    <w:rsid w:val="00A52C47"/>
    <w:rsid w:val="00A63422"/>
    <w:rsid w:val="00A92AB2"/>
    <w:rsid w:val="00AC54DD"/>
    <w:rsid w:val="00AE647C"/>
    <w:rsid w:val="00AF0BC5"/>
    <w:rsid w:val="00B1534B"/>
    <w:rsid w:val="00B25CDE"/>
    <w:rsid w:val="00B70D59"/>
    <w:rsid w:val="00BA0B94"/>
    <w:rsid w:val="00BD2D7B"/>
    <w:rsid w:val="00BF121D"/>
    <w:rsid w:val="00BF5B48"/>
    <w:rsid w:val="00C05984"/>
    <w:rsid w:val="00C05CAA"/>
    <w:rsid w:val="00C439A5"/>
    <w:rsid w:val="00C43B8D"/>
    <w:rsid w:val="00C934E3"/>
    <w:rsid w:val="00CA3548"/>
    <w:rsid w:val="00D06A12"/>
    <w:rsid w:val="00D516BF"/>
    <w:rsid w:val="00D66AC3"/>
    <w:rsid w:val="00E040D6"/>
    <w:rsid w:val="00E17950"/>
    <w:rsid w:val="00E2183E"/>
    <w:rsid w:val="00E53017"/>
    <w:rsid w:val="00E61C12"/>
    <w:rsid w:val="00EA72C1"/>
    <w:rsid w:val="00EC4389"/>
    <w:rsid w:val="00ED1F6C"/>
    <w:rsid w:val="00ED7963"/>
    <w:rsid w:val="00EF1762"/>
    <w:rsid w:val="00F3143D"/>
    <w:rsid w:val="00F40A0D"/>
    <w:rsid w:val="00FC66CF"/>
    <w:rsid w:val="2FFD55D8"/>
    <w:rsid w:val="75FCF34B"/>
    <w:rsid w:val="777ED653"/>
    <w:rsid w:val="777FA8F0"/>
    <w:rsid w:val="7BFB31F7"/>
    <w:rsid w:val="7DD74F75"/>
    <w:rsid w:val="7EFEB002"/>
    <w:rsid w:val="BED73ECF"/>
    <w:rsid w:val="BF1B692F"/>
    <w:rsid w:val="DFEE912A"/>
    <w:rsid w:val="EBBBF780"/>
    <w:rsid w:val="EDFF716B"/>
    <w:rsid w:val="F7B5C3CF"/>
    <w:rsid w:val="FDFE8F6C"/>
    <w:rsid w:val="FF4782E0"/>
    <w:rsid w:val="FFFB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b/>
      <w:bCs/>
      <w:kern w:val="0"/>
      <w:sz w:val="36"/>
      <w:szCs w:val="36"/>
    </w:rPr>
  </w:style>
  <w:style w:type="paragraph" w:styleId="3">
    <w:name w:val="heading 3"/>
    <w:basedOn w:val="1"/>
    <w:next w:val="1"/>
    <w:unhideWhenUsed/>
    <w:qFormat/>
    <w:uiPriority w:val="9"/>
    <w:pPr>
      <w:keepNext/>
      <w:keepLines/>
      <w:spacing w:before="260" w:after="260" w:line="413" w:lineRule="auto"/>
      <w:outlineLvl w:val="2"/>
    </w:pPr>
    <w:rPr>
      <w:b/>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459</Words>
  <Characters>2618</Characters>
  <Lines>21</Lines>
  <Paragraphs>6</Paragraphs>
  <TotalTime>38</TotalTime>
  <ScaleCrop>false</ScaleCrop>
  <LinksUpToDate>false</LinksUpToDate>
  <CharactersWithSpaces>3071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2026-06-11T10:08:00Z</dcterms:created>
  <dc:creator>Shunxi Zhang</dc:creator>
  <cp:lastModifiedBy>wangjing</cp:lastModifiedBy>
  <dcterms:modified xsi:type="dcterms:W3CDTF">2026-06-17T12:06:08Z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5DF8EF523C9CA3BE970E2A6AC0F774F3</vt:lpwstr>
  </property>
</Properties>
</file>