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DE516F">
      <w:pPr>
        <w:pStyle w:val="4"/>
        <w:bidi w:val="0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lang w:eastAsia="zh-CN"/>
        </w:rPr>
        <w:t>附件</w:t>
      </w:r>
      <w:r>
        <w:rPr>
          <w:rFonts w:hint="eastAsia" w:ascii="黑体" w:hAnsi="黑体" w:eastAsia="黑体" w:cs="黑体"/>
          <w:lang w:val="en-US" w:eastAsia="zh-CN"/>
        </w:rPr>
        <w:t>2</w:t>
      </w:r>
    </w:p>
    <w:p w14:paraId="2BCF37CF">
      <w:pPr>
        <w:pStyle w:val="4"/>
        <w:bidi w:val="0"/>
        <w:rPr>
          <w:rFonts w:hint="default"/>
          <w:lang w:val="en-US" w:eastAsia="zh-CN"/>
        </w:rPr>
      </w:pPr>
    </w:p>
    <w:p w14:paraId="48D858AD">
      <w:pPr>
        <w:pStyle w:val="2"/>
        <w:bidi w:val="0"/>
        <w:rPr>
          <w:rFonts w:hint="eastAsia"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</w:rPr>
        <w:t>《北京市农业行政处罚裁量权基准</w:t>
      </w:r>
    </w:p>
    <w:p w14:paraId="0C529FE9">
      <w:pPr>
        <w:pStyle w:val="2"/>
        <w:bidi w:val="0"/>
        <w:rPr>
          <w:rFonts w:hint="eastAsia"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</w:rPr>
        <w:t>（征求意见稿）》修订说明</w:t>
      </w:r>
    </w:p>
    <w:p w14:paraId="6F0CCBCC">
      <w:pPr>
        <w:pStyle w:val="4"/>
        <w:bidi w:val="0"/>
        <w:rPr>
          <w:rFonts w:hint="eastAsia"/>
        </w:rPr>
      </w:pPr>
    </w:p>
    <w:p w14:paraId="604807F9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  <w:r>
        <w:rPr>
          <w:rFonts w:hint="eastAsia"/>
        </w:rPr>
        <w:t>一、修订背景</w:t>
      </w:r>
    </w:p>
    <w:p w14:paraId="539EF7C8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</w:rPr>
        <w:t>根据国务院办公厅《关于进一步规范行政裁量权基准制定和管理工作的意见》和市推进依法行政工作领导小组办公室《关于进一步规范行政裁量权基准制定和管理工作的实施意见》要求，为了规范行政处罚裁量权，</w:t>
      </w:r>
      <w:r>
        <w:rPr>
          <w:rFonts w:hint="eastAsia" w:ascii="仿宋_GB2312" w:hAnsi="仿宋_GB2312" w:eastAsia="仿宋_GB2312" w:cs="仿宋_GB2312"/>
          <w:lang w:val="en-US" w:eastAsia="zh-CN"/>
        </w:rPr>
        <w:t>2023年</w:t>
      </w:r>
      <w:r>
        <w:rPr>
          <w:rFonts w:hint="eastAsia" w:ascii="仿宋_GB2312" w:hAnsi="仿宋_GB2312" w:eastAsia="仿宋_GB2312" w:cs="仿宋_GB2312"/>
        </w:rPr>
        <w:t>制定了《北京市农业行政</w:t>
      </w:r>
      <w:r>
        <w:rPr>
          <w:rFonts w:hint="eastAsia" w:ascii="仿宋_GB2312" w:hAnsi="仿宋_GB2312" w:cs="仿宋_GB2312"/>
          <w:lang w:eastAsia="zh-CN"/>
        </w:rPr>
        <w:t>处罚</w:t>
      </w:r>
      <w:r>
        <w:rPr>
          <w:rFonts w:hint="eastAsia" w:ascii="仿宋_GB2312" w:hAnsi="仿宋_GB2312" w:eastAsia="仿宋_GB2312" w:cs="仿宋_GB2312"/>
        </w:rPr>
        <w:t>裁量权基准》。</w:t>
      </w:r>
      <w:r>
        <w:rPr>
          <w:rFonts w:hint="eastAsia" w:ascii="仿宋_GB2312" w:hAnsi="仿宋_GB2312" w:eastAsia="仿宋_GB2312" w:cs="仿宋_GB2312"/>
          <w:lang w:eastAsia="zh-CN"/>
        </w:rPr>
        <w:t>实施近两年来，随着</w:t>
      </w:r>
      <w:r>
        <w:rPr>
          <w:rFonts w:hint="eastAsia" w:ascii="仿宋_GB2312" w:hAnsi="仿宋_GB2312" w:cs="仿宋_GB2312"/>
          <w:lang w:eastAsia="zh-CN"/>
        </w:rPr>
        <w:t>农业领域</w:t>
      </w:r>
      <w:r>
        <w:rPr>
          <w:rFonts w:hint="eastAsia" w:ascii="仿宋_GB2312" w:hAnsi="仿宋_GB2312" w:eastAsia="仿宋_GB2312" w:cs="仿宋_GB2312"/>
          <w:lang w:eastAsia="zh-CN"/>
        </w:rPr>
        <w:t>法律法规规章</w:t>
      </w:r>
      <w:r>
        <w:rPr>
          <w:rFonts w:hint="eastAsia" w:ascii="仿宋_GB2312" w:hAnsi="仿宋_GB2312" w:cs="仿宋_GB2312"/>
          <w:lang w:eastAsia="zh-CN"/>
        </w:rPr>
        <w:t>的</w:t>
      </w:r>
      <w:r>
        <w:rPr>
          <w:rFonts w:hint="eastAsia" w:ascii="仿宋_GB2312" w:hAnsi="仿宋_GB2312" w:eastAsia="仿宋_GB2312" w:cs="仿宋_GB2312"/>
          <w:lang w:eastAsia="zh-CN"/>
        </w:rPr>
        <w:t>出台</w:t>
      </w:r>
      <w:r>
        <w:rPr>
          <w:rFonts w:hint="eastAsia" w:ascii="仿宋_GB2312" w:hAnsi="仿宋_GB2312" w:cs="仿宋_GB2312"/>
          <w:lang w:eastAsia="zh-CN"/>
        </w:rPr>
        <w:t>、</w:t>
      </w:r>
      <w:r>
        <w:rPr>
          <w:rFonts w:hint="eastAsia" w:ascii="仿宋_GB2312" w:hAnsi="仿宋_GB2312" w:eastAsia="仿宋_GB2312" w:cs="仿宋_GB2312"/>
          <w:lang w:eastAsia="zh-CN"/>
        </w:rPr>
        <w:t>修订</w:t>
      </w:r>
      <w:r>
        <w:rPr>
          <w:rFonts w:hint="eastAsia" w:ascii="仿宋_GB2312" w:hAnsi="仿宋_GB2312" w:cs="仿宋_GB2312"/>
          <w:lang w:eastAsia="zh-CN"/>
        </w:rPr>
        <w:t>和执法</w:t>
      </w:r>
      <w:r>
        <w:rPr>
          <w:rFonts w:hint="eastAsia" w:ascii="仿宋_GB2312" w:hAnsi="仿宋_GB2312" w:eastAsia="仿宋_GB2312" w:cs="仿宋_GB2312"/>
          <w:lang w:eastAsia="zh-CN"/>
        </w:rPr>
        <w:t>实践</w:t>
      </w:r>
      <w:r>
        <w:rPr>
          <w:rFonts w:hint="eastAsia" w:ascii="仿宋_GB2312" w:hAnsi="仿宋_GB2312" w:cs="仿宋_GB2312"/>
          <w:lang w:eastAsia="zh-CN"/>
        </w:rPr>
        <w:t>需求的变化，同时</w:t>
      </w:r>
      <w:r>
        <w:rPr>
          <w:rFonts w:hint="eastAsia" w:ascii="仿宋_GB2312" w:hAnsi="仿宋_GB2312" w:eastAsia="仿宋_GB2312" w:cs="仿宋_GB2312"/>
          <w:lang w:eastAsia="zh-CN"/>
        </w:rPr>
        <w:t>全面践行包容审慎和柔性执法理念，</w:t>
      </w:r>
      <w:r>
        <w:rPr>
          <w:rFonts w:hint="eastAsia" w:ascii="仿宋_GB2312" w:hAnsi="仿宋_GB2312" w:cs="仿宋_GB2312"/>
          <w:lang w:eastAsia="zh-CN"/>
        </w:rPr>
        <w:t>因此，</w:t>
      </w:r>
      <w:r>
        <w:rPr>
          <w:rFonts w:hint="eastAsia" w:ascii="仿宋_GB2312" w:hAnsi="仿宋_GB2312" w:eastAsia="仿宋_GB2312" w:cs="仿宋_GB2312"/>
          <w:lang w:eastAsia="zh-CN"/>
        </w:rPr>
        <w:t>对</w:t>
      </w:r>
      <w:r>
        <w:rPr>
          <w:rFonts w:hint="eastAsia" w:ascii="仿宋_GB2312" w:hAnsi="仿宋_GB2312" w:eastAsia="仿宋_GB2312" w:cs="仿宋_GB2312"/>
          <w:lang w:val="en-US" w:eastAsia="zh-CN"/>
        </w:rPr>
        <w:t>2023年制定的裁量</w:t>
      </w:r>
      <w:r>
        <w:rPr>
          <w:rFonts w:hint="eastAsia" w:ascii="仿宋_GB2312" w:hAnsi="仿宋_GB2312" w:cs="仿宋_GB2312"/>
          <w:lang w:val="en-US" w:eastAsia="zh-CN"/>
        </w:rPr>
        <w:t>权</w:t>
      </w:r>
      <w:r>
        <w:rPr>
          <w:rFonts w:hint="eastAsia" w:ascii="仿宋_GB2312" w:hAnsi="仿宋_GB2312" w:eastAsia="仿宋_GB2312" w:cs="仿宋_GB2312"/>
          <w:lang w:val="en-US" w:eastAsia="zh-CN"/>
        </w:rPr>
        <w:t>基准</w:t>
      </w:r>
      <w:r>
        <w:rPr>
          <w:rFonts w:hint="eastAsia" w:ascii="仿宋_GB2312" w:hAnsi="仿宋_GB2312" w:cs="仿宋_GB2312"/>
          <w:lang w:eastAsia="zh-CN"/>
        </w:rPr>
        <w:t>进行</w:t>
      </w:r>
      <w:r>
        <w:rPr>
          <w:rFonts w:hint="eastAsia" w:ascii="仿宋_GB2312" w:hAnsi="仿宋_GB2312" w:eastAsia="仿宋_GB2312" w:cs="仿宋_GB2312"/>
          <w:lang w:eastAsia="zh-CN"/>
        </w:rPr>
        <w:t>修订。</w:t>
      </w:r>
    </w:p>
    <w:p w14:paraId="42B4E320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  <w:r>
        <w:rPr>
          <w:rFonts w:hint="eastAsia"/>
        </w:rPr>
        <w:t>二、修订内容</w:t>
      </w:r>
    </w:p>
    <w:p w14:paraId="5A30A119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cs="仿宋_GB2312"/>
          <w:lang w:val="en-US" w:eastAsia="zh-CN"/>
        </w:rPr>
        <w:t>对《北京市农业行政处罚裁量权基准》（2023版）进行全面修订，并依据新颁布的法律、法规、规章制定裁量权基准，同时单独制定了《北京市农业农村领域不予行政处罚事项清单》。</w:t>
      </w:r>
      <w:r>
        <w:rPr>
          <w:rFonts w:hint="eastAsia" w:ascii="仿宋_GB2312" w:hAnsi="仿宋_GB2312" w:eastAsia="仿宋_GB2312" w:cs="仿宋_GB2312"/>
        </w:rPr>
        <w:t>本次修订</w:t>
      </w:r>
      <w:r>
        <w:rPr>
          <w:rFonts w:hint="eastAsia" w:ascii="仿宋_GB2312" w:hAnsi="仿宋_GB2312" w:eastAsia="仿宋_GB2312" w:cs="仿宋_GB2312"/>
          <w:lang w:eastAsia="zh-CN"/>
        </w:rPr>
        <w:t>不再以法律法规作为分类依据，以农业农村细分行业领域进行分类，涉及农</w:t>
      </w:r>
      <w:r>
        <w:rPr>
          <w:rFonts w:hint="eastAsia" w:ascii="仿宋_GB2312" w:hAnsi="仿宋_GB2312" w:cs="仿宋_GB2312"/>
          <w:lang w:eastAsia="zh-CN"/>
        </w:rPr>
        <w:t>业机械</w:t>
      </w:r>
      <w:r>
        <w:rPr>
          <w:rFonts w:hint="eastAsia" w:ascii="仿宋_GB2312" w:hAnsi="仿宋_GB2312" w:eastAsia="仿宋_GB2312" w:cs="仿宋_GB2312"/>
          <w:lang w:eastAsia="zh-CN"/>
        </w:rPr>
        <w:t>、乳品质量安全、畜禽屠宰、畜禽养殖、动物防疫、植物检疫、粮食安全等</w:t>
      </w:r>
      <w:r>
        <w:rPr>
          <w:rFonts w:hint="eastAsia" w:ascii="仿宋_GB2312" w:hAnsi="仿宋_GB2312" w:cs="仿宋_GB231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lang w:val="en-US" w:eastAsia="zh-CN"/>
        </w:rPr>
        <w:t>个部分。</w:t>
      </w:r>
    </w:p>
    <w:p w14:paraId="4A803F19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lang w:val="en" w:eastAsia="zh-CN"/>
        </w:rPr>
      </w:pPr>
      <w:r>
        <w:rPr>
          <w:rFonts w:hint="eastAsia"/>
          <w:lang w:val="en" w:eastAsia="zh-CN"/>
        </w:rPr>
        <w:t>三、裁量权基准修订原则</w:t>
      </w:r>
    </w:p>
    <w:p w14:paraId="608392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（一）整体架构</w:t>
      </w:r>
    </w:p>
    <w:p w14:paraId="5B7895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裁量权基准采用“裁量编号+违法行为+处罚依据+适用条件+具体标准”的基本结构，不予行政处罚事项清单采用“违法行为+处罚依据+适用条件+不予处罚情形+监管措施”的基本结构。</w:t>
      </w:r>
    </w:p>
    <w:p w14:paraId="16D52C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（二）裁量阶次设定原则</w:t>
      </w:r>
    </w:p>
    <w:p w14:paraId="0758D0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裁量阶次采用编码方式，编码规则为“职权编码前6位”+“档次”（A、B、C），加“阶次”（01、02、03、04……）。A档次对应高风险，</w:t>
      </w:r>
      <w:r>
        <w:rPr>
          <w:rFonts w:hint="eastAsia" w:ascii="仿宋_GB2312" w:hAnsi="仿宋_GB2312" w:eastAsia="仿宋_GB2312" w:cs="仿宋_GB2312"/>
          <w:lang w:val="en" w:eastAsia="zh-CN"/>
        </w:rPr>
        <w:t>适用于违法情节严重、危害后果重大、拒不整改或多次违法的情形；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B档次对应中风险，</w:t>
      </w:r>
      <w:r>
        <w:rPr>
          <w:rFonts w:hint="eastAsia" w:ascii="仿宋_GB2312" w:hAnsi="仿宋_GB2312" w:eastAsia="仿宋_GB2312" w:cs="仿宋_GB2312"/>
          <w:lang w:val="en" w:eastAsia="zh-CN"/>
        </w:rPr>
        <w:t>适用于违法情节一般、危害后果较明显但未造成严重影响的情形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；C档次对应低风险（零风险）</w:t>
      </w:r>
      <w:r>
        <w:rPr>
          <w:rFonts w:hint="eastAsia" w:ascii="仿宋_GB2312" w:hAnsi="仿宋_GB2312" w:eastAsia="仿宋_GB2312" w:cs="仿宋_GB2312"/>
          <w:lang w:val="en" w:eastAsia="zh-CN"/>
        </w:rPr>
        <w:t>适用于违法情节较轻、危害后果不明显且未造成明显影响的情形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。</w:t>
      </w:r>
    </w:p>
    <w:p w14:paraId="63739CFC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_GB2312" w:hAnsi="楷体_GB2312" w:eastAsia="楷体_GB2312" w:cs="楷体_GB2312"/>
          <w:b w:val="0"/>
          <w:bCs w:val="0"/>
          <w:lang w:val="en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lang w:val="en" w:eastAsia="zh-CN"/>
        </w:rPr>
        <w:t>（二）适用条件确定依据</w:t>
      </w:r>
    </w:p>
    <w:p w14:paraId="0252C219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lang w:val="en" w:eastAsia="zh-CN"/>
        </w:rPr>
      </w:pPr>
      <w:r>
        <w:rPr>
          <w:rFonts w:hint="default"/>
          <w:lang w:val="en" w:eastAsia="zh-CN"/>
        </w:rPr>
        <w:t>量化指标：部分违法行为以</w:t>
      </w:r>
      <w:r>
        <w:rPr>
          <w:rFonts w:hint="eastAsia"/>
          <w:lang w:val="en" w:eastAsia="zh-CN"/>
        </w:rPr>
        <w:t>货值金额、违法所得、持续时间</w:t>
      </w:r>
      <w:r>
        <w:rPr>
          <w:rFonts w:hint="default"/>
          <w:lang w:val="en" w:eastAsia="zh-CN"/>
        </w:rPr>
        <w:t>、面积、</w:t>
      </w:r>
      <w:r>
        <w:rPr>
          <w:rFonts w:hint="eastAsia"/>
          <w:lang w:val="en" w:eastAsia="zh-CN"/>
        </w:rPr>
        <w:t>次数</w:t>
      </w:r>
      <w:r>
        <w:rPr>
          <w:rFonts w:hint="default"/>
          <w:lang w:val="en" w:eastAsia="zh-CN"/>
        </w:rPr>
        <w:t>等量化指标</w:t>
      </w:r>
      <w:r>
        <w:rPr>
          <w:rFonts w:hint="eastAsia"/>
          <w:lang w:val="en" w:eastAsia="zh-CN"/>
        </w:rPr>
        <w:t>区分不同的适用条件</w:t>
      </w:r>
      <w:r>
        <w:rPr>
          <w:rFonts w:hint="default"/>
          <w:lang w:val="en" w:eastAsia="zh-CN"/>
        </w:rPr>
        <w:t>。</w:t>
      </w:r>
    </w:p>
    <w:p w14:paraId="391BF5E0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lang w:val="en" w:eastAsia="zh-CN"/>
        </w:rPr>
      </w:pPr>
      <w:r>
        <w:rPr>
          <w:rFonts w:hint="default"/>
          <w:lang w:val="en" w:eastAsia="zh-CN"/>
        </w:rPr>
        <w:t>行为性质：根据违法行为的性质和危害程度</w:t>
      </w:r>
      <w:r>
        <w:rPr>
          <w:rFonts w:hint="eastAsia"/>
          <w:lang w:val="en" w:eastAsia="zh-CN"/>
        </w:rPr>
        <w:t>区分不同的适用条件</w:t>
      </w:r>
      <w:r>
        <w:rPr>
          <w:rFonts w:hint="default"/>
          <w:lang w:val="en" w:eastAsia="zh-CN"/>
        </w:rPr>
        <w:t>。</w:t>
      </w:r>
    </w:p>
    <w:p w14:paraId="2D521E4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9A6B6B"/>
    <w:rsid w:val="629A6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0" w:firstLineChars="0"/>
      <w:jc w:val="both"/>
    </w:pPr>
    <w:rPr>
      <w:rFonts w:ascii="Calibri" w:hAnsi="Calibri" w:eastAsia="方正仿宋_GBK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line="560" w:lineRule="exact"/>
      <w:ind w:firstLine="0" w:firstLineChars="0"/>
      <w:jc w:val="center"/>
      <w:outlineLvl w:val="0"/>
    </w:pPr>
    <w:rPr>
      <w:rFonts w:ascii="Times New Roman" w:hAnsi="Times New Roman" w:eastAsia="华文中宋" w:cs="Arial"/>
      <w:bCs/>
      <w:kern w:val="0"/>
      <w:sz w:val="44"/>
      <w:szCs w:val="30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widowControl w:val="0"/>
      <w:spacing w:line="240" w:lineRule="auto"/>
      <w:ind w:firstLine="200" w:firstLineChars="200"/>
      <w:jc w:val="both"/>
      <w:outlineLvl w:val="1"/>
    </w:pPr>
    <w:rPr>
      <w:rFonts w:ascii="Arial" w:hAnsi="Arial" w:eastAsia="黑体"/>
      <w:bCs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spacing w:line="560" w:lineRule="exact"/>
      <w:ind w:firstLine="420" w:firstLineChars="200"/>
    </w:pPr>
    <w:rPr>
      <w:rFonts w:ascii="Calibri" w:hAnsi="Calibri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2026-05-28T01:27:00Z</dcterms:created>
  <dc:creator>李敏</dc:creator>
  <cp:lastModifiedBy>李敏</cp:lastModifiedBy>
  <dcterms:modified xsi:type="dcterms:W3CDTF">2026-05-28T01:27:54Z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0633D3C685A7478B96F3F9FD7C276E33_11</vt:lpwstr>
  </property>
  <property fmtid="{D5CDD505-2E9C-101B-9397-08002B2CF9AE}" pid="4" name="KSOTemplateDocerSaveRecord">
    <vt:lpwstr>eyJoZGlkIjoiMmUyYmI0NzFiOTllNTNhYjQzN2RiNmRkODVlNjNiM2QiLCJ1c2VySWQiOiIxMDYwMDc1MTc4In0=</vt:lpwstr>
  </property>
</Properties>
</file>