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方正黑体_GBK" w:hAnsi="方正黑体_GBK" w:eastAsia="方正黑体_GBK" w:cs="方正黑体_GBK"/>
          <w:color w:val="auto"/>
          <w:kern w:val="0"/>
          <w:sz w:val="32"/>
          <w:szCs w:val="32"/>
        </w:rPr>
      </w:pPr>
      <w:bookmarkStart w:id="17" w:name="_GoBack"/>
      <w:bookmarkEnd w:id="17"/>
      <w:r>
        <w:rPr>
          <w:rFonts w:hint="eastAsia" w:ascii="仿宋_GB2312" w:hAnsi="仿宋_GB2312" w:eastAsia="仿宋_GB2312" w:cs="仿宋_GB2312"/>
          <w:i w:val="0"/>
          <w:iCs w:val="0"/>
          <w:caps w:val="0"/>
          <w:color w:val="494949"/>
          <w:spacing w:val="0"/>
          <w:sz w:val="32"/>
          <w:szCs w:val="32"/>
          <w:highlight w:val="none"/>
          <w:shd w:val="clear" w:color="auto" w:fill="FFFFFF"/>
          <w:lang w:eastAsia="zh-CN"/>
        </w:rPr>
        <w:t>BF-202</w:t>
      </w:r>
      <w:r>
        <w:rPr>
          <w:rFonts w:hint="eastAsia" w:ascii="仿宋_GB2312" w:hAnsi="仿宋_GB2312" w:eastAsia="仿宋_GB2312" w:cs="仿宋_GB2312"/>
          <w:i w:val="0"/>
          <w:iCs w:val="0"/>
          <w:caps w:val="0"/>
          <w:color w:val="494949"/>
          <w:spacing w:val="0"/>
          <w:sz w:val="32"/>
          <w:szCs w:val="32"/>
          <w:highlight w:val="none"/>
          <w:shd w:val="clear" w:color="auto" w:fill="FFFFFF"/>
          <w:lang w:val="en-US" w:eastAsia="zh-CN"/>
        </w:rPr>
        <w:t>6</w:t>
      </w:r>
      <w:r>
        <w:rPr>
          <w:rFonts w:hint="eastAsia" w:ascii="仿宋_GB2312" w:hAnsi="仿宋_GB2312" w:eastAsia="仿宋_GB2312" w:cs="仿宋_GB2312"/>
          <w:i w:val="0"/>
          <w:iCs w:val="0"/>
          <w:caps w:val="0"/>
          <w:color w:val="494949"/>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494949"/>
          <w:spacing w:val="0"/>
          <w:sz w:val="32"/>
          <w:szCs w:val="32"/>
          <w:highlight w:val="none"/>
          <w:shd w:val="clear" w:color="auto" w:fill="FFFFFF"/>
          <w:lang w:val="en-US" w:eastAsia="zh-CN"/>
        </w:rPr>
        <w:t xml:space="preserve">                           </w:t>
      </w:r>
      <w:r>
        <w:rPr>
          <w:rFonts w:hint="eastAsia" w:ascii="方正黑体_GBK" w:hAnsi="方正黑体_GBK" w:eastAsia="方正黑体_GBK" w:cs="方正黑体_GBK"/>
          <w:color w:val="auto"/>
          <w:kern w:val="0"/>
          <w:sz w:val="32"/>
          <w:szCs w:val="32"/>
        </w:rPr>
        <w:t xml:space="preserve">合同编号：                    </w:t>
      </w:r>
    </w:p>
    <w:p>
      <w:pPr>
        <w:spacing w:line="520" w:lineRule="exact"/>
        <w:jc w:val="left"/>
        <w:rPr>
          <w:rFonts w:hint="eastAsia" w:ascii="方正黑体_GBK" w:hAnsi="方正黑体_GBK" w:eastAsia="方正黑体_GBK" w:cs="方正黑体_GBK"/>
          <w:color w:val="auto"/>
          <w:kern w:val="0"/>
          <w:sz w:val="32"/>
          <w:szCs w:val="32"/>
        </w:rPr>
      </w:pPr>
    </w:p>
    <w:p>
      <w:pPr>
        <w:jc w:val="center"/>
        <w:rPr>
          <w:color w:val="auto"/>
        </w:rPr>
      </w:pPr>
    </w:p>
    <w:p>
      <w:pPr>
        <w:jc w:val="center"/>
        <w:rPr>
          <w:color w:val="auto"/>
        </w:rPr>
      </w:pPr>
    </w:p>
    <w:p>
      <w:pPr>
        <w:rPr>
          <w:color w:val="auto"/>
        </w:rPr>
      </w:pPr>
    </w:p>
    <w:p>
      <w:pPr>
        <w:jc w:val="center"/>
        <w:rPr>
          <w:b/>
          <w:bCs/>
          <w:color w:val="auto"/>
          <w:sz w:val="44"/>
          <w:szCs w:val="44"/>
        </w:rPr>
      </w:pPr>
    </w:p>
    <w:p>
      <w:pPr>
        <w:widowControl/>
        <w:spacing w:line="288" w:lineRule="auto"/>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北京市</w:t>
      </w:r>
      <w:r>
        <w:rPr>
          <w:rFonts w:hint="eastAsia" w:ascii="方正小标宋简体" w:hAnsi="方正小标宋简体" w:eastAsia="方正小标宋简体" w:cs="方正小标宋简体"/>
          <w:color w:val="auto"/>
          <w:kern w:val="0"/>
          <w:sz w:val="44"/>
          <w:szCs w:val="44"/>
          <w:lang w:eastAsia="zh-CN"/>
        </w:rPr>
        <w:t>建设工程</w:t>
      </w:r>
      <w:r>
        <w:rPr>
          <w:rFonts w:hint="eastAsia" w:ascii="方正小标宋简体" w:hAnsi="方正小标宋简体" w:eastAsia="方正小标宋简体" w:cs="方正小标宋简体"/>
          <w:color w:val="auto"/>
          <w:kern w:val="0"/>
          <w:sz w:val="44"/>
          <w:szCs w:val="44"/>
        </w:rPr>
        <w:t>墙体材料采购合同</w:t>
      </w:r>
    </w:p>
    <w:p>
      <w:pPr>
        <w:pStyle w:val="5"/>
        <w:rPr>
          <w:rFonts w:hint="eastAsia" w:ascii="方正小标宋简体" w:hAnsi="方正小标宋简体" w:eastAsia="方正小标宋简体" w:cs="方正小标宋简体"/>
          <w:color w:val="auto"/>
          <w:kern w:val="0"/>
          <w:sz w:val="44"/>
          <w:szCs w:val="44"/>
        </w:rPr>
      </w:pPr>
    </w:p>
    <w:p>
      <w:pPr>
        <w:rPr>
          <w:color w:val="auto"/>
        </w:rPr>
      </w:pPr>
    </w:p>
    <w:p>
      <w:pPr>
        <w:spacing w:line="360" w:lineRule="auto"/>
        <w:rPr>
          <w:color w:val="auto"/>
          <w:sz w:val="24"/>
        </w:rPr>
      </w:pPr>
    </w:p>
    <w:p>
      <w:pPr>
        <w:spacing w:line="288" w:lineRule="auto"/>
        <w:ind w:firstLine="1080" w:firstLineChars="300"/>
        <w:rPr>
          <w:rFonts w:hint="eastAsia" w:ascii="方正小标宋简体" w:hAnsi="方正小标宋简体" w:eastAsia="方正小标宋简体" w:cs="方正小标宋简体"/>
          <w:color w:val="auto"/>
          <w:sz w:val="36"/>
          <w:szCs w:val="36"/>
          <w:u w:val="single"/>
        </w:rPr>
      </w:pPr>
      <w:r>
        <w:rPr>
          <w:rFonts w:hint="default" w:ascii="方正小标宋简体" w:hAnsi="方正小标宋简体" w:eastAsia="方正小标宋简体" w:cs="方正小标宋简体"/>
          <w:color w:val="auto"/>
          <w:sz w:val="36"/>
          <w:szCs w:val="36"/>
          <w:lang w:val="en-US"/>
        </w:rPr>
        <w:t>甲</w:t>
      </w:r>
      <w:r>
        <w:rPr>
          <w:rFonts w:hint="eastAsia" w:ascii="方正小标宋简体" w:hAnsi="方正小标宋简体" w:eastAsia="方正小标宋简体" w:cs="方正小标宋简体"/>
          <w:color w:val="auto"/>
          <w:sz w:val="36"/>
          <w:szCs w:val="36"/>
        </w:rPr>
        <w:t>方</w:t>
      </w:r>
      <w:r>
        <w:rPr>
          <w:rFonts w:hint="eastAsia" w:ascii="方正小标宋简体" w:hAnsi="方正小标宋简体" w:eastAsia="方正小标宋简体" w:cs="方正小标宋简体"/>
          <w:color w:val="auto"/>
          <w:sz w:val="36"/>
          <w:szCs w:val="36"/>
          <w:lang w:eastAsia="zh-CN"/>
        </w:rPr>
        <w:t>（</w:t>
      </w:r>
      <w:r>
        <w:rPr>
          <w:rFonts w:hint="default" w:ascii="方正小标宋简体" w:hAnsi="方正小标宋简体" w:eastAsia="方正小标宋简体" w:cs="方正小标宋简体"/>
          <w:color w:val="auto"/>
          <w:sz w:val="36"/>
          <w:szCs w:val="36"/>
          <w:lang w:val="en-US" w:eastAsia="zh-CN"/>
        </w:rPr>
        <w:t>采购方</w:t>
      </w:r>
      <w:r>
        <w:rPr>
          <w:rFonts w:hint="eastAsia" w:ascii="方正小标宋简体" w:hAnsi="方正小标宋简体" w:eastAsia="方正小标宋简体" w:cs="方正小标宋简体"/>
          <w:color w:val="auto"/>
          <w:sz w:val="36"/>
          <w:szCs w:val="36"/>
          <w:lang w:eastAsia="zh-CN"/>
        </w:rPr>
        <w:t>）</w:t>
      </w:r>
      <w:r>
        <w:rPr>
          <w:rFonts w:hint="eastAsia" w:ascii="方正小标宋简体" w:hAnsi="方正小标宋简体" w:eastAsia="方正小标宋简体" w:cs="方正小标宋简体"/>
          <w:color w:val="auto"/>
          <w:sz w:val="36"/>
          <w:szCs w:val="36"/>
        </w:rPr>
        <w:t>：</w:t>
      </w:r>
      <w:r>
        <w:rPr>
          <w:rFonts w:hint="eastAsia" w:ascii="方正小标宋简体" w:hAnsi="方正小标宋简体" w:eastAsia="方正小标宋简体" w:cs="方正小标宋简体"/>
          <w:color w:val="auto"/>
          <w:sz w:val="36"/>
          <w:szCs w:val="36"/>
          <w:u w:val="single"/>
        </w:rPr>
        <w:t xml:space="preserve">                             </w:t>
      </w:r>
    </w:p>
    <w:p>
      <w:pPr>
        <w:spacing w:line="288" w:lineRule="auto"/>
        <w:ind w:firstLine="900" w:firstLineChars="250"/>
        <w:rPr>
          <w:rFonts w:hint="eastAsia" w:ascii="方正小标宋简体" w:hAnsi="方正小标宋简体" w:eastAsia="方正小标宋简体" w:cs="方正小标宋简体"/>
          <w:color w:val="auto"/>
          <w:sz w:val="36"/>
          <w:szCs w:val="36"/>
        </w:rPr>
      </w:pPr>
    </w:p>
    <w:p>
      <w:pPr>
        <w:spacing w:line="288" w:lineRule="auto"/>
        <w:ind w:firstLine="1080" w:firstLineChars="300"/>
        <w:rPr>
          <w:rFonts w:hint="eastAsia" w:ascii="方正小标宋简体" w:hAnsi="方正小标宋简体" w:eastAsia="方正小标宋简体" w:cs="方正小标宋简体"/>
          <w:color w:val="auto"/>
          <w:sz w:val="36"/>
          <w:szCs w:val="36"/>
          <w:u w:val="single"/>
        </w:rPr>
      </w:pPr>
      <w:r>
        <w:rPr>
          <w:rFonts w:hint="default" w:ascii="方正小标宋简体" w:hAnsi="方正小标宋简体" w:eastAsia="方正小标宋简体" w:cs="方正小标宋简体"/>
          <w:color w:val="auto"/>
          <w:sz w:val="36"/>
          <w:szCs w:val="36"/>
          <w:lang w:val="en-US"/>
        </w:rPr>
        <w:t>乙</w:t>
      </w:r>
      <w:r>
        <w:rPr>
          <w:rFonts w:hint="eastAsia" w:ascii="方正小标宋简体" w:hAnsi="方正小标宋简体" w:eastAsia="方正小标宋简体" w:cs="方正小标宋简体"/>
          <w:color w:val="auto"/>
          <w:sz w:val="36"/>
          <w:szCs w:val="36"/>
        </w:rPr>
        <w:t>方</w:t>
      </w:r>
      <w:r>
        <w:rPr>
          <w:rFonts w:hint="eastAsia" w:ascii="方正小标宋简体" w:hAnsi="方正小标宋简体" w:eastAsia="方正小标宋简体" w:cs="方正小标宋简体"/>
          <w:color w:val="auto"/>
          <w:sz w:val="36"/>
          <w:szCs w:val="36"/>
          <w:lang w:eastAsia="zh-CN"/>
        </w:rPr>
        <w:t>（</w:t>
      </w:r>
      <w:r>
        <w:rPr>
          <w:rFonts w:hint="default" w:ascii="方正小标宋简体" w:hAnsi="方正小标宋简体" w:eastAsia="方正小标宋简体" w:cs="方正小标宋简体"/>
          <w:color w:val="auto"/>
          <w:sz w:val="36"/>
          <w:szCs w:val="36"/>
          <w:lang w:val="en-US" w:eastAsia="zh-CN"/>
        </w:rPr>
        <w:t>供货方</w:t>
      </w:r>
      <w:r>
        <w:rPr>
          <w:rFonts w:hint="eastAsia" w:ascii="方正小标宋简体" w:hAnsi="方正小标宋简体" w:eastAsia="方正小标宋简体" w:cs="方正小标宋简体"/>
          <w:color w:val="auto"/>
          <w:sz w:val="36"/>
          <w:szCs w:val="36"/>
          <w:lang w:eastAsia="zh-CN"/>
        </w:rPr>
        <w:t>）</w:t>
      </w:r>
      <w:r>
        <w:rPr>
          <w:rFonts w:hint="eastAsia" w:ascii="方正小标宋简体" w:hAnsi="方正小标宋简体" w:eastAsia="方正小标宋简体" w:cs="方正小标宋简体"/>
          <w:color w:val="auto"/>
          <w:sz w:val="36"/>
          <w:szCs w:val="36"/>
        </w:rPr>
        <w:t>：</w:t>
      </w:r>
      <w:r>
        <w:rPr>
          <w:rFonts w:hint="eastAsia" w:ascii="方正小标宋简体" w:hAnsi="方正小标宋简体" w:eastAsia="方正小标宋简体" w:cs="方正小标宋简体"/>
          <w:color w:val="auto"/>
          <w:sz w:val="36"/>
          <w:szCs w:val="36"/>
          <w:u w:val="single"/>
        </w:rPr>
        <w:t xml:space="preserve">                             </w:t>
      </w:r>
    </w:p>
    <w:p>
      <w:pPr>
        <w:spacing w:line="288" w:lineRule="auto"/>
        <w:rPr>
          <w:rFonts w:hint="eastAsia" w:ascii="方正小标宋简体" w:hAnsi="方正小标宋简体" w:eastAsia="方正小标宋简体" w:cs="方正小标宋简体"/>
          <w:color w:val="auto"/>
          <w:sz w:val="36"/>
          <w:szCs w:val="36"/>
        </w:rPr>
      </w:pPr>
    </w:p>
    <w:p>
      <w:pPr>
        <w:pStyle w:val="4"/>
        <w:rPr>
          <w:rFonts w:hint="eastAsia" w:ascii="方正小标宋简体" w:hAnsi="方正小标宋简体" w:eastAsia="方正小标宋简体" w:cs="方正小标宋简体"/>
          <w:color w:val="auto"/>
          <w:sz w:val="36"/>
          <w:szCs w:val="36"/>
        </w:rPr>
      </w:pPr>
    </w:p>
    <w:p>
      <w:pPr>
        <w:rPr>
          <w:rFonts w:hint="eastAsia" w:ascii="方正小标宋简体" w:hAnsi="方正小标宋简体" w:eastAsia="方正小标宋简体" w:cs="方正小标宋简体"/>
          <w:color w:val="auto"/>
          <w:sz w:val="36"/>
          <w:szCs w:val="36"/>
        </w:rPr>
      </w:pPr>
    </w:p>
    <w:p>
      <w:pPr>
        <w:rPr>
          <w:rFonts w:hint="eastAsia" w:ascii="方正小标宋简体" w:hAnsi="方正小标宋简体" w:eastAsia="方正小标宋简体" w:cs="方正小标宋简体"/>
          <w:color w:val="auto"/>
          <w:sz w:val="36"/>
          <w:szCs w:val="36"/>
        </w:rPr>
      </w:pPr>
    </w:p>
    <w:p>
      <w:pPr>
        <w:pStyle w:val="5"/>
        <w:rPr>
          <w:color w:val="auto"/>
        </w:rPr>
      </w:pPr>
    </w:p>
    <w:p>
      <w:pPr>
        <w:spacing w:line="288" w:lineRule="auto"/>
        <w:ind w:right="1069" w:rightChars="509"/>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 xml:space="preserve">       北京市住房和城乡建设委员会</w:t>
      </w:r>
    </w:p>
    <w:p>
      <w:pPr>
        <w:spacing w:line="288" w:lineRule="auto"/>
        <w:ind w:right="1069" w:rightChars="509"/>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 xml:space="preserve">      北京市市场监督管理局</w:t>
      </w:r>
    </w:p>
    <w:p>
      <w:pPr>
        <w:spacing w:line="288" w:lineRule="auto"/>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6</w:t>
      </w:r>
      <w:r>
        <w:rPr>
          <w:rFonts w:hint="eastAsia" w:ascii="方正小标宋简体" w:hAnsi="方正小标宋简体" w:eastAsia="方正小标宋简体" w:cs="方正小标宋简体"/>
          <w:color w:val="auto"/>
          <w:sz w:val="36"/>
          <w:szCs w:val="36"/>
        </w:rPr>
        <w:t>年</w:t>
      </w:r>
      <w:r>
        <w:rPr>
          <w:rFonts w:hint="eastAsia" w:ascii="方正小标宋简体" w:hAnsi="方正小标宋简体" w:eastAsia="方正小标宋简体" w:cs="方正小标宋简体"/>
          <w:color w:val="auto"/>
          <w:sz w:val="36"/>
          <w:szCs w:val="36"/>
          <w:lang w:val="en-US" w:eastAsia="zh-CN"/>
        </w:rPr>
        <w:t xml:space="preserve">  </w:t>
      </w:r>
      <w:r>
        <w:rPr>
          <w:rFonts w:hint="eastAsia" w:ascii="方正小标宋简体" w:hAnsi="方正小标宋简体" w:eastAsia="方正小标宋简体" w:cs="方正小标宋简体"/>
          <w:color w:val="auto"/>
          <w:sz w:val="36"/>
          <w:szCs w:val="36"/>
        </w:rPr>
        <w:t>月</w:t>
      </w:r>
    </w:p>
    <w:p>
      <w:pPr>
        <w:pStyle w:val="5"/>
        <w:ind w:left="0" w:leftChars="0"/>
        <w:rPr>
          <w:color w:val="auto"/>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rPr>
          <w:color w:val="auto"/>
        </w:rPr>
      </w:pPr>
    </w:p>
    <w:p>
      <w:pPr>
        <w:spacing w:line="560" w:lineRule="exact"/>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说    明</w:t>
      </w:r>
    </w:p>
    <w:p>
      <w:pPr>
        <w:spacing w:line="360" w:lineRule="auto"/>
        <w:ind w:firstLine="2160" w:firstLineChars="900"/>
        <w:rPr>
          <w:color w:val="auto"/>
          <w:sz w:val="24"/>
          <w:u w:val="single"/>
        </w:rPr>
      </w:pPr>
    </w:p>
    <w:p>
      <w:pPr>
        <w:spacing w:line="360" w:lineRule="auto"/>
        <w:ind w:firstLine="2160" w:firstLineChars="900"/>
        <w:rPr>
          <w:color w:val="auto"/>
          <w:sz w:val="24"/>
          <w:u w:val="single"/>
        </w:rPr>
      </w:pPr>
    </w:p>
    <w:p>
      <w:pPr>
        <w:pStyle w:val="4"/>
        <w:spacing w:after="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1.本合同为示范文本，由北京市住房和城乡建设委员会、北京市市场监督管理局共同制定。供本市行政区域内当事人采购墙体材料签订合同时参照使用。</w:t>
      </w:r>
    </w:p>
    <w:p>
      <w:pPr>
        <w:pStyle w:val="4"/>
        <w:spacing w:after="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参照合同示范文本订立合同的，</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"https://baike.baidu.com/item/%E5%BD%93%E4%BA%8B%E4%BA%BA/433908?fromModule=lemma_inlink"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应当充分理解合同条款，自行承担</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"https://baike.baidu.com/item/%E5%90%88%E5%90%8C%E8%AE%A2%E7%AB%8B/9875407?fromModule=lemma_inlink"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合同订立</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"https://baike.baidu.com/item/%E5%B1%A5%E8%A1%8C/639141?fromModule=lemma_inlink"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履行</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所发生的</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"https://baike.baidu.com/item/%E6%B3%95%E5%BE%8B%E5%90%8E%E6%9E%9C/8787402?fromModule=lemma_inlink"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法律后果</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w:t>
      </w:r>
    </w:p>
    <w:p>
      <w:pPr>
        <w:pStyle w:val="4"/>
        <w:spacing w:after="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2.本合同文本中空格部位填写的内容及其他需要修改、增补或删减的内容，双方当事人应当协商确定。合同生效后，未被修改的文本打印文字视为当事人同意内容。</w:t>
      </w:r>
    </w:p>
    <w:p>
      <w:pPr>
        <w:pStyle w:val="4"/>
        <w:spacing w:after="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3.本合同中未约定或约定不详的内容，双方当事人根据具体情况在相关条款后的空白行中进行补充约定，也可以另行签订补充协议。</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bCs w:val="0"/>
          <w:color w:val="auto"/>
          <w:kern w:val="2"/>
          <w:sz w:val="32"/>
          <w:szCs w:val="32"/>
        </w:rPr>
        <w:t>在签订合同时，双方应出示营业执照副本原件；若</w:t>
      </w:r>
      <w:r>
        <w:rPr>
          <w:rFonts w:hint="eastAsia" w:ascii="仿宋_GB2312" w:hAnsi="仿宋_GB2312" w:eastAsia="仿宋_GB2312" w:cs="仿宋_GB2312"/>
          <w:color w:val="auto"/>
          <w:sz w:val="32"/>
          <w:szCs w:val="32"/>
        </w:rPr>
        <w:t>乙方为本合同墙体材料经销企业，乙方还应额外出示</w:t>
      </w:r>
      <w:r>
        <w:rPr>
          <w:rFonts w:hint="eastAsia" w:ascii="仿宋_GB2312" w:hAnsi="仿宋_GB2312" w:eastAsia="仿宋_GB2312" w:cs="仿宋_GB2312"/>
          <w:bCs w:val="0"/>
          <w:color w:val="auto"/>
          <w:kern w:val="2"/>
          <w:sz w:val="32"/>
          <w:szCs w:val="32"/>
        </w:rPr>
        <w:t>墙体材料生产企业</w:t>
      </w:r>
      <w:r>
        <w:rPr>
          <w:rFonts w:hint="eastAsia" w:ascii="仿宋_GB2312" w:hAnsi="仿宋_GB2312" w:eastAsia="仿宋_GB2312" w:cs="仿宋_GB2312"/>
          <w:color w:val="auto"/>
          <w:sz w:val="32"/>
          <w:szCs w:val="32"/>
        </w:rPr>
        <w:t>委托经销授权书；以上原件的</w:t>
      </w:r>
      <w:r>
        <w:rPr>
          <w:rFonts w:hint="eastAsia" w:ascii="仿宋_GB2312" w:hAnsi="仿宋_GB2312" w:eastAsia="仿宋_GB2312" w:cs="仿宋_GB2312"/>
          <w:bCs w:val="0"/>
          <w:color w:val="auto"/>
          <w:kern w:val="2"/>
          <w:sz w:val="32"/>
          <w:szCs w:val="32"/>
        </w:rPr>
        <w:t>复印件加盖各自公章交付对方</w:t>
      </w:r>
      <w:r>
        <w:rPr>
          <w:rFonts w:hint="eastAsia" w:ascii="仿宋_GB2312" w:hAnsi="仿宋_GB2312" w:eastAsia="仿宋_GB2312" w:cs="仿宋_GB2312"/>
          <w:bCs w:val="0"/>
          <w:color w:val="auto"/>
          <w:kern w:val="2"/>
          <w:sz w:val="32"/>
          <w:szCs w:val="32"/>
          <w:lang w:eastAsia="zh-CN"/>
        </w:rPr>
        <w:t>留存</w:t>
      </w:r>
      <w:r>
        <w:rPr>
          <w:rFonts w:hint="eastAsia" w:ascii="仿宋_GB2312" w:hAnsi="仿宋_GB2312" w:eastAsia="仿宋_GB2312" w:cs="仿宋_GB2312"/>
          <w:bCs w:val="0"/>
          <w:color w:val="auto"/>
          <w:kern w:val="2"/>
          <w:sz w:val="32"/>
          <w:szCs w:val="32"/>
        </w:rPr>
        <w:t>。</w:t>
      </w:r>
    </w:p>
    <w:p>
      <w:pPr>
        <w:jc w:val="center"/>
        <w:rPr>
          <w:rFonts w:hint="eastAsia" w:ascii="仿宋_GB2312" w:hAnsi="仿宋_GB2312" w:eastAsia="仿宋_GB2312" w:cs="仿宋_GB2312"/>
          <w:b/>
          <w:bCs/>
          <w:color w:val="auto"/>
          <w:sz w:val="32"/>
          <w:szCs w:val="32"/>
        </w:rPr>
        <w:sectPr>
          <w:footerReference r:id="rId4" w:type="default"/>
          <w:pgSz w:w="11906" w:h="16838"/>
          <w:pgMar w:top="1440" w:right="1800" w:bottom="1440" w:left="1800" w:header="851" w:footer="992" w:gutter="0"/>
          <w:pgNumType w:fmt="numberInDash" w:start="1"/>
          <w:cols w:space="720" w:num="1"/>
          <w:docGrid w:type="lines" w:linePitch="312" w:charSpace="0"/>
        </w:sectPr>
      </w:pPr>
    </w:p>
    <w:p>
      <w:pPr>
        <w:spacing w:line="52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北京市</w:t>
      </w:r>
      <w:r>
        <w:rPr>
          <w:rFonts w:hint="eastAsia" w:ascii="方正小标宋简体" w:hAnsi="方正小标宋简体" w:eastAsia="方正小标宋简体" w:cs="方正小标宋简体"/>
          <w:color w:val="auto"/>
          <w:sz w:val="36"/>
          <w:szCs w:val="36"/>
          <w:lang w:eastAsia="zh-CN"/>
        </w:rPr>
        <w:t>建设工程</w:t>
      </w:r>
      <w:r>
        <w:rPr>
          <w:rFonts w:hint="eastAsia" w:ascii="方正小标宋简体" w:hAnsi="方正小标宋简体" w:eastAsia="方正小标宋简体" w:cs="方正小标宋简体"/>
          <w:color w:val="auto"/>
          <w:sz w:val="36"/>
          <w:szCs w:val="36"/>
        </w:rPr>
        <w:t>墙体材料采购合同</w:t>
      </w:r>
    </w:p>
    <w:p>
      <w:pPr>
        <w:spacing w:line="264" w:lineRule="auto"/>
        <w:ind w:firstLine="400" w:firstLineChars="200"/>
        <w:rPr>
          <w:rFonts w:hint="eastAsia" w:ascii="华文楷体" w:hAnsi="华文楷体" w:eastAsia="华文楷体" w:cs="华文楷体"/>
          <w:color w:val="auto"/>
          <w:sz w:val="20"/>
          <w:szCs w:val="20"/>
        </w:rPr>
      </w:pPr>
    </w:p>
    <w:p>
      <w:pPr>
        <w:spacing w:line="264" w:lineRule="auto"/>
        <w:ind w:firstLine="400" w:firstLineChars="200"/>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甲方</w:t>
      </w:r>
      <w:r>
        <w:rPr>
          <w:rFonts w:hint="eastAsia" w:ascii="华文楷体" w:hAnsi="华文楷体" w:eastAsia="华文楷体" w:cs="华文楷体"/>
          <w:color w:val="auto"/>
          <w:sz w:val="20"/>
          <w:szCs w:val="20"/>
          <w:lang w:eastAsia="zh-CN"/>
        </w:rPr>
        <w:t>（</w:t>
      </w:r>
      <w:r>
        <w:rPr>
          <w:rFonts w:hint="default" w:ascii="华文楷体" w:hAnsi="华文楷体" w:eastAsia="华文楷体" w:cs="华文楷体"/>
          <w:color w:val="auto"/>
          <w:sz w:val="20"/>
          <w:szCs w:val="20"/>
          <w:lang w:val="en-US" w:eastAsia="zh-CN"/>
        </w:rPr>
        <w:t>采购</w:t>
      </w:r>
      <w:r>
        <w:rPr>
          <w:rFonts w:hint="eastAsia" w:ascii="华文楷体" w:hAnsi="华文楷体" w:eastAsia="华文楷体" w:cs="华文楷体"/>
          <w:color w:val="auto"/>
          <w:sz w:val="20"/>
          <w:szCs w:val="20"/>
          <w:lang w:eastAsia="zh-CN"/>
        </w:rPr>
        <w:t>方）</w:t>
      </w:r>
      <w:r>
        <w:rPr>
          <w:rFonts w:hint="eastAsia" w:ascii="华文楷体" w:hAnsi="华文楷体" w:eastAsia="华文楷体" w:cs="华文楷体"/>
          <w:color w:val="auto"/>
          <w:sz w:val="20"/>
          <w:szCs w:val="20"/>
        </w:rPr>
        <w:t>：</w:t>
      </w:r>
      <w:r>
        <w:rPr>
          <w:rFonts w:ascii="仿宋_GB2312" w:eastAsia="仿宋_GB2312"/>
          <w:color w:val="auto"/>
          <w:sz w:val="24"/>
          <w:u w:val="single"/>
        </w:rPr>
        <w:t xml:space="preserve">                              </w:t>
      </w:r>
    </w:p>
    <w:p>
      <w:pPr>
        <w:spacing w:line="264" w:lineRule="auto"/>
        <w:ind w:firstLine="400" w:firstLineChars="200"/>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乙方</w:t>
      </w:r>
      <w:r>
        <w:rPr>
          <w:rFonts w:hint="eastAsia" w:ascii="华文楷体" w:hAnsi="华文楷体" w:eastAsia="华文楷体" w:cs="华文楷体"/>
          <w:color w:val="auto"/>
          <w:sz w:val="20"/>
          <w:szCs w:val="20"/>
          <w:lang w:eastAsia="zh-CN"/>
        </w:rPr>
        <w:t>（</w:t>
      </w:r>
      <w:r>
        <w:rPr>
          <w:rFonts w:hint="default" w:ascii="华文楷体" w:hAnsi="华文楷体" w:eastAsia="华文楷体" w:cs="华文楷体"/>
          <w:color w:val="auto"/>
          <w:sz w:val="20"/>
          <w:szCs w:val="20"/>
          <w:lang w:val="en-US" w:eastAsia="zh-CN"/>
        </w:rPr>
        <w:t>供货</w:t>
      </w:r>
      <w:r>
        <w:rPr>
          <w:rFonts w:hint="eastAsia" w:ascii="华文楷体" w:hAnsi="华文楷体" w:eastAsia="华文楷体" w:cs="华文楷体"/>
          <w:color w:val="auto"/>
          <w:sz w:val="20"/>
          <w:szCs w:val="20"/>
          <w:lang w:eastAsia="zh-CN"/>
        </w:rPr>
        <w:t>方）</w:t>
      </w:r>
      <w:r>
        <w:rPr>
          <w:rFonts w:hint="eastAsia" w:ascii="华文楷体" w:hAnsi="华文楷体" w:eastAsia="华文楷体" w:cs="华文楷体"/>
          <w:color w:val="auto"/>
          <w:sz w:val="20"/>
          <w:szCs w:val="20"/>
        </w:rPr>
        <w:t>：</w:t>
      </w:r>
      <w:r>
        <w:rPr>
          <w:rFonts w:ascii="仿宋_GB2312" w:eastAsia="仿宋_GB2312"/>
          <w:color w:val="auto"/>
          <w:sz w:val="24"/>
          <w:u w:val="single"/>
        </w:rPr>
        <w:t xml:space="preserve">                              </w:t>
      </w:r>
      <w:r>
        <w:rPr>
          <w:rFonts w:hint="eastAsia" w:ascii="华文楷体" w:hAnsi="华文楷体" w:eastAsia="华文楷体" w:cs="华文楷体"/>
          <w:color w:val="auto"/>
          <w:sz w:val="20"/>
          <w:szCs w:val="20"/>
        </w:rPr>
        <w:t xml:space="preserve">（ □生产企业  </w:t>
      </w:r>
      <w:r>
        <w:rPr>
          <w:rFonts w:hint="eastAsia" w:ascii="华文楷体" w:hAnsi="华文楷体" w:eastAsia="华文楷体" w:cs="华文楷体"/>
          <w:color w:val="auto"/>
          <w:sz w:val="20"/>
          <w:szCs w:val="20"/>
        </w:rPr>
        <w:sym w:font="Wingdings 2" w:char="00A3"/>
      </w:r>
      <w:r>
        <w:rPr>
          <w:rFonts w:hint="eastAsia" w:ascii="华文楷体" w:hAnsi="华文楷体" w:eastAsia="华文楷体" w:cs="华文楷体"/>
          <w:color w:val="auto"/>
          <w:sz w:val="20"/>
          <w:szCs w:val="20"/>
        </w:rPr>
        <w:t>经销企业）</w:t>
      </w:r>
    </w:p>
    <w:p>
      <w:pPr>
        <w:spacing w:line="264" w:lineRule="auto"/>
        <w:ind w:firstLine="400" w:firstLineChars="200"/>
        <w:rPr>
          <w:rFonts w:hint="eastAsia" w:ascii="华文楷体" w:hAnsi="华文楷体" w:eastAsia="华文楷体" w:cs="华文楷体"/>
          <w:color w:val="auto"/>
          <w:sz w:val="20"/>
          <w:szCs w:val="20"/>
        </w:rPr>
      </w:pPr>
    </w:p>
    <w:p>
      <w:pPr>
        <w:spacing w:line="264" w:lineRule="auto"/>
        <w:ind w:firstLine="400" w:firstLineChars="200"/>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依照《中华人民共和国民法典》《中华人民共和国建筑法》等相关法律法规的规定，甲乙双方在自愿、公平、诚信的基础上，就甲方向乙方采购墙体材料事宜，经双方协商一致，订立本合同。</w:t>
      </w:r>
    </w:p>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bookmarkStart w:id="0" w:name="_Hlk106021160"/>
      <w:r>
        <w:rPr>
          <w:rFonts w:hint="eastAsia" w:ascii="华文楷体" w:hAnsi="华文楷体" w:eastAsia="华文楷体" w:cs="华文楷体"/>
          <w:b/>
          <w:bCs/>
          <w:color w:val="auto"/>
          <w:kern w:val="0"/>
          <w:sz w:val="20"/>
          <w:szCs w:val="20"/>
        </w:rPr>
        <w:t>工程</w:t>
      </w:r>
      <w:r>
        <w:rPr>
          <w:rFonts w:hint="eastAsia" w:ascii="华文楷体" w:hAnsi="华文楷体" w:eastAsia="华文楷体" w:cs="华文楷体"/>
          <w:b/>
          <w:bCs/>
          <w:color w:val="auto"/>
          <w:kern w:val="0"/>
          <w:sz w:val="20"/>
          <w:szCs w:val="20"/>
          <w:lang w:eastAsia="zh-CN"/>
        </w:rPr>
        <w:t>基本情况</w:t>
      </w:r>
    </w:p>
    <w:bookmarkEnd w:id="0"/>
    <w:p>
      <w:pPr>
        <w:pStyle w:val="15"/>
        <w:spacing w:line="264" w:lineRule="auto"/>
        <w:ind w:firstLine="400"/>
        <w:rPr>
          <w:rFonts w:hint="eastAsia" w:ascii="华文楷体" w:hAnsi="华文楷体" w:eastAsia="华文楷体" w:cs="华文楷体"/>
          <w:color w:val="auto"/>
          <w:kern w:val="0"/>
          <w:sz w:val="20"/>
          <w:szCs w:val="20"/>
          <w:u w:val="single"/>
        </w:rPr>
      </w:pPr>
      <w:r>
        <w:rPr>
          <w:rFonts w:hint="eastAsia" w:ascii="华文楷体" w:hAnsi="华文楷体" w:eastAsia="华文楷体" w:cs="华文楷体"/>
          <w:color w:val="auto"/>
          <w:kern w:val="0"/>
          <w:sz w:val="20"/>
          <w:szCs w:val="20"/>
        </w:rPr>
        <w:t>工程名称：</w:t>
      </w:r>
      <w:r>
        <w:rPr>
          <w:rFonts w:hint="eastAsia" w:ascii="华文楷体" w:hAnsi="华文楷体" w:eastAsia="华文楷体" w:cs="华文楷体"/>
          <w:color w:val="auto"/>
          <w:kern w:val="0"/>
          <w:sz w:val="20"/>
          <w:szCs w:val="20"/>
          <w:u w:val="single"/>
        </w:rPr>
        <w:t xml:space="preserve">                                 </w:t>
      </w:r>
    </w:p>
    <w:p>
      <w:pPr>
        <w:pStyle w:val="15"/>
        <w:spacing w:line="264" w:lineRule="auto"/>
        <w:ind w:firstLine="400"/>
        <w:rPr>
          <w:rFonts w:hint="eastAsia" w:ascii="华文楷体" w:hAnsi="华文楷体" w:eastAsia="华文楷体" w:cs="华文楷体"/>
          <w:color w:val="auto"/>
          <w:kern w:val="0"/>
          <w:sz w:val="20"/>
          <w:szCs w:val="20"/>
          <w:u w:val="single"/>
        </w:rPr>
      </w:pPr>
      <w:r>
        <w:rPr>
          <w:rFonts w:hint="eastAsia" w:ascii="华文楷体" w:hAnsi="华文楷体" w:eastAsia="华文楷体" w:cs="华文楷体"/>
          <w:color w:val="auto"/>
          <w:kern w:val="0"/>
          <w:sz w:val="20"/>
          <w:szCs w:val="20"/>
        </w:rPr>
        <w:t>工程地点：</w:t>
      </w:r>
      <w:r>
        <w:rPr>
          <w:rFonts w:hint="eastAsia" w:ascii="华文楷体" w:hAnsi="华文楷体" w:eastAsia="华文楷体" w:cs="华文楷体"/>
          <w:color w:val="auto"/>
          <w:kern w:val="0"/>
          <w:sz w:val="20"/>
          <w:szCs w:val="20"/>
          <w:u w:val="single"/>
        </w:rPr>
        <w:t xml:space="preserve">                                 </w:t>
      </w:r>
    </w:p>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bookmarkStart w:id="1" w:name="_Hlk106021169"/>
      <w:r>
        <w:rPr>
          <w:rFonts w:hint="eastAsia" w:ascii="华文楷体" w:hAnsi="华文楷体" w:eastAsia="华文楷体" w:cs="华文楷体"/>
          <w:b/>
          <w:bCs/>
          <w:color w:val="auto"/>
          <w:kern w:val="0"/>
          <w:sz w:val="20"/>
          <w:szCs w:val="20"/>
        </w:rPr>
        <w:t>墙体材料基本情况及价款</w:t>
      </w:r>
    </w:p>
    <w:bookmarkEnd w:id="1"/>
    <w:p>
      <w:pPr>
        <w:pStyle w:val="15"/>
        <w:ind w:firstLine="400"/>
        <w:rPr>
          <w:color w:val="auto"/>
        </w:rPr>
      </w:pPr>
      <w:r>
        <w:rPr>
          <w:rFonts w:hint="eastAsia" w:ascii="华文楷体" w:hAnsi="华文楷体" w:eastAsia="华文楷体" w:cs="华文楷体"/>
          <w:color w:val="auto"/>
          <w:sz w:val="20"/>
          <w:szCs w:val="20"/>
        </w:rPr>
        <w:t>2.1墙体材料</w:t>
      </w:r>
      <w:r>
        <w:rPr>
          <w:rFonts w:hint="eastAsia" w:ascii="华文楷体" w:hAnsi="华文楷体" w:eastAsia="华文楷体" w:cs="华文楷体"/>
          <w:color w:val="auto"/>
          <w:sz w:val="20"/>
          <w:szCs w:val="20"/>
          <w:lang w:eastAsia="zh-CN"/>
        </w:rPr>
        <w:t>明细</w:t>
      </w:r>
      <w:r>
        <w:rPr>
          <w:rFonts w:hint="eastAsia" w:ascii="华文楷体" w:hAnsi="华文楷体" w:eastAsia="华文楷体" w:cs="华文楷体"/>
          <w:color w:val="auto"/>
          <w:sz w:val="20"/>
          <w:szCs w:val="20"/>
        </w:rPr>
        <w:t>表</w:t>
      </w:r>
    </w:p>
    <w:tbl>
      <w:tblPr>
        <w:tblStyle w:val="11"/>
        <w:tblpPr w:leftFromText="180" w:rightFromText="180" w:vertAnchor="text" w:horzAnchor="page" w:tblpX="2185" w:tblpY="54"/>
        <w:tblOverlap w:val="never"/>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063"/>
        <w:gridCol w:w="775"/>
        <w:gridCol w:w="768"/>
        <w:gridCol w:w="1165"/>
        <w:gridCol w:w="1447"/>
        <w:gridCol w:w="1076"/>
        <w:gridCol w:w="819"/>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83" w:type="dxa"/>
            <w:vAlign w:val="center"/>
          </w:tcPr>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序号</w:t>
            </w:r>
          </w:p>
        </w:tc>
        <w:tc>
          <w:tcPr>
            <w:tcW w:w="1063" w:type="dxa"/>
            <w:vAlign w:val="center"/>
          </w:tcPr>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墙体材料</w:t>
            </w:r>
          </w:p>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名称</w:t>
            </w:r>
          </w:p>
        </w:tc>
        <w:tc>
          <w:tcPr>
            <w:tcW w:w="775" w:type="dxa"/>
            <w:vAlign w:val="center"/>
          </w:tcPr>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规格</w:t>
            </w:r>
          </w:p>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参数</w:t>
            </w:r>
          </w:p>
        </w:tc>
        <w:tc>
          <w:tcPr>
            <w:tcW w:w="768" w:type="dxa"/>
            <w:vAlign w:val="center"/>
          </w:tcPr>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执行</w:t>
            </w:r>
          </w:p>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标准</w:t>
            </w:r>
          </w:p>
        </w:tc>
        <w:tc>
          <w:tcPr>
            <w:tcW w:w="1165" w:type="dxa"/>
            <w:vAlign w:val="center"/>
          </w:tcPr>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数量</w:t>
            </w:r>
          </w:p>
          <w:p>
            <w:pPr>
              <w:spacing w:line="240" w:lineRule="auto"/>
              <w:jc w:val="center"/>
              <w:rPr>
                <w:color w:val="auto"/>
              </w:rPr>
            </w:pPr>
            <w:r>
              <w:rPr>
                <w:rFonts w:hint="eastAsia" w:ascii="华文楷体" w:hAnsi="华文楷体" w:eastAsia="华文楷体" w:cs="华文楷体"/>
                <w:color w:val="auto"/>
                <w:sz w:val="20"/>
                <w:szCs w:val="20"/>
              </w:rPr>
              <w:t>（立方米）</w:t>
            </w:r>
          </w:p>
        </w:tc>
        <w:tc>
          <w:tcPr>
            <w:tcW w:w="1447" w:type="dxa"/>
            <w:vAlign w:val="center"/>
          </w:tcPr>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含税单价</w:t>
            </w:r>
          </w:p>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（元/立方米）</w:t>
            </w:r>
          </w:p>
        </w:tc>
        <w:tc>
          <w:tcPr>
            <w:tcW w:w="1076" w:type="dxa"/>
            <w:vAlign w:val="center"/>
          </w:tcPr>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含税总价</w:t>
            </w:r>
          </w:p>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（元）</w:t>
            </w:r>
          </w:p>
        </w:tc>
        <w:tc>
          <w:tcPr>
            <w:tcW w:w="819" w:type="dxa"/>
            <w:vAlign w:val="center"/>
          </w:tcPr>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品牌</w:t>
            </w:r>
          </w:p>
        </w:tc>
        <w:tc>
          <w:tcPr>
            <w:tcW w:w="662" w:type="dxa"/>
            <w:vAlign w:val="center"/>
          </w:tcPr>
          <w:p>
            <w:pPr>
              <w:spacing w:line="240"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3" w:type="dxa"/>
            <w:vAlign w:val="center"/>
          </w:tcPr>
          <w:p>
            <w:pPr>
              <w:spacing w:line="264"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1</w:t>
            </w:r>
          </w:p>
        </w:tc>
        <w:tc>
          <w:tcPr>
            <w:tcW w:w="1063" w:type="dxa"/>
          </w:tcPr>
          <w:p>
            <w:pPr>
              <w:spacing w:line="264" w:lineRule="auto"/>
              <w:ind w:firstLine="400" w:firstLineChars="200"/>
              <w:rPr>
                <w:rFonts w:hint="eastAsia" w:ascii="华文楷体" w:hAnsi="华文楷体" w:eastAsia="华文楷体" w:cs="华文楷体"/>
                <w:color w:val="auto"/>
                <w:sz w:val="20"/>
                <w:szCs w:val="20"/>
              </w:rPr>
            </w:pPr>
          </w:p>
        </w:tc>
        <w:tc>
          <w:tcPr>
            <w:tcW w:w="775" w:type="dxa"/>
          </w:tcPr>
          <w:p>
            <w:pPr>
              <w:spacing w:line="264" w:lineRule="auto"/>
              <w:ind w:firstLine="400" w:firstLineChars="200"/>
              <w:rPr>
                <w:rFonts w:hint="eastAsia" w:ascii="华文楷体" w:hAnsi="华文楷体" w:eastAsia="华文楷体" w:cs="华文楷体"/>
                <w:color w:val="auto"/>
                <w:sz w:val="20"/>
                <w:szCs w:val="20"/>
              </w:rPr>
            </w:pPr>
          </w:p>
        </w:tc>
        <w:tc>
          <w:tcPr>
            <w:tcW w:w="768" w:type="dxa"/>
          </w:tcPr>
          <w:p>
            <w:pPr>
              <w:spacing w:line="264" w:lineRule="auto"/>
              <w:ind w:firstLine="400" w:firstLineChars="200"/>
              <w:rPr>
                <w:rFonts w:hint="eastAsia" w:ascii="华文楷体" w:hAnsi="华文楷体" w:eastAsia="华文楷体" w:cs="华文楷体"/>
                <w:color w:val="auto"/>
                <w:sz w:val="20"/>
                <w:szCs w:val="20"/>
              </w:rPr>
            </w:pPr>
          </w:p>
        </w:tc>
        <w:tc>
          <w:tcPr>
            <w:tcW w:w="1165" w:type="dxa"/>
          </w:tcPr>
          <w:p>
            <w:pPr>
              <w:spacing w:line="264" w:lineRule="auto"/>
              <w:ind w:firstLine="400" w:firstLineChars="200"/>
              <w:rPr>
                <w:rFonts w:hint="eastAsia" w:ascii="华文楷体" w:hAnsi="华文楷体" w:eastAsia="华文楷体" w:cs="华文楷体"/>
                <w:color w:val="auto"/>
                <w:sz w:val="20"/>
                <w:szCs w:val="20"/>
              </w:rPr>
            </w:pPr>
          </w:p>
        </w:tc>
        <w:tc>
          <w:tcPr>
            <w:tcW w:w="1447" w:type="dxa"/>
          </w:tcPr>
          <w:p>
            <w:pPr>
              <w:spacing w:line="264" w:lineRule="auto"/>
              <w:ind w:firstLine="400" w:firstLineChars="200"/>
              <w:rPr>
                <w:rFonts w:hint="eastAsia" w:ascii="华文楷体" w:hAnsi="华文楷体" w:eastAsia="华文楷体" w:cs="华文楷体"/>
                <w:color w:val="auto"/>
                <w:sz w:val="20"/>
                <w:szCs w:val="20"/>
              </w:rPr>
            </w:pPr>
          </w:p>
        </w:tc>
        <w:tc>
          <w:tcPr>
            <w:tcW w:w="1076" w:type="dxa"/>
          </w:tcPr>
          <w:p>
            <w:pPr>
              <w:spacing w:line="264" w:lineRule="auto"/>
              <w:ind w:firstLine="400" w:firstLineChars="200"/>
              <w:rPr>
                <w:rFonts w:hint="eastAsia" w:ascii="华文楷体" w:hAnsi="华文楷体" w:eastAsia="华文楷体" w:cs="华文楷体"/>
                <w:color w:val="auto"/>
                <w:sz w:val="20"/>
                <w:szCs w:val="20"/>
              </w:rPr>
            </w:pPr>
          </w:p>
        </w:tc>
        <w:tc>
          <w:tcPr>
            <w:tcW w:w="819" w:type="dxa"/>
          </w:tcPr>
          <w:p>
            <w:pPr>
              <w:spacing w:line="264" w:lineRule="auto"/>
              <w:ind w:firstLine="400" w:firstLineChars="200"/>
              <w:rPr>
                <w:rFonts w:hint="eastAsia" w:ascii="华文楷体" w:hAnsi="华文楷体" w:eastAsia="华文楷体" w:cs="华文楷体"/>
                <w:color w:val="auto"/>
                <w:sz w:val="20"/>
                <w:szCs w:val="20"/>
              </w:rPr>
            </w:pPr>
          </w:p>
        </w:tc>
        <w:tc>
          <w:tcPr>
            <w:tcW w:w="662" w:type="dxa"/>
          </w:tcPr>
          <w:p>
            <w:pPr>
              <w:spacing w:line="264" w:lineRule="auto"/>
              <w:ind w:firstLine="400" w:firstLineChars="200"/>
              <w:rPr>
                <w:rFonts w:hint="eastAsia" w:ascii="华文楷体" w:hAnsi="华文楷体" w:eastAsia="华文楷体" w:cs="华文楷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3" w:type="dxa"/>
            <w:vAlign w:val="center"/>
          </w:tcPr>
          <w:p>
            <w:pPr>
              <w:spacing w:line="264"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2</w:t>
            </w:r>
          </w:p>
        </w:tc>
        <w:tc>
          <w:tcPr>
            <w:tcW w:w="1063" w:type="dxa"/>
          </w:tcPr>
          <w:p>
            <w:pPr>
              <w:spacing w:line="264" w:lineRule="auto"/>
              <w:ind w:firstLine="400" w:firstLineChars="200"/>
              <w:rPr>
                <w:rFonts w:hint="eastAsia" w:ascii="华文楷体" w:hAnsi="华文楷体" w:eastAsia="华文楷体" w:cs="华文楷体"/>
                <w:color w:val="auto"/>
                <w:sz w:val="20"/>
                <w:szCs w:val="20"/>
              </w:rPr>
            </w:pPr>
          </w:p>
        </w:tc>
        <w:tc>
          <w:tcPr>
            <w:tcW w:w="775" w:type="dxa"/>
          </w:tcPr>
          <w:p>
            <w:pPr>
              <w:spacing w:line="264" w:lineRule="auto"/>
              <w:ind w:firstLine="400" w:firstLineChars="200"/>
              <w:rPr>
                <w:rFonts w:hint="eastAsia" w:ascii="华文楷体" w:hAnsi="华文楷体" w:eastAsia="华文楷体" w:cs="华文楷体"/>
                <w:color w:val="auto"/>
                <w:sz w:val="20"/>
                <w:szCs w:val="20"/>
              </w:rPr>
            </w:pPr>
          </w:p>
        </w:tc>
        <w:tc>
          <w:tcPr>
            <w:tcW w:w="768" w:type="dxa"/>
          </w:tcPr>
          <w:p>
            <w:pPr>
              <w:spacing w:line="264" w:lineRule="auto"/>
              <w:ind w:firstLine="400" w:firstLineChars="200"/>
              <w:rPr>
                <w:rFonts w:hint="eastAsia" w:ascii="华文楷体" w:hAnsi="华文楷体" w:eastAsia="华文楷体" w:cs="华文楷体"/>
                <w:color w:val="auto"/>
                <w:sz w:val="20"/>
                <w:szCs w:val="20"/>
              </w:rPr>
            </w:pPr>
          </w:p>
        </w:tc>
        <w:tc>
          <w:tcPr>
            <w:tcW w:w="1165" w:type="dxa"/>
          </w:tcPr>
          <w:p>
            <w:pPr>
              <w:spacing w:line="264" w:lineRule="auto"/>
              <w:ind w:firstLine="400" w:firstLineChars="200"/>
              <w:rPr>
                <w:rFonts w:hint="eastAsia" w:ascii="华文楷体" w:hAnsi="华文楷体" w:eastAsia="华文楷体" w:cs="华文楷体"/>
                <w:color w:val="auto"/>
                <w:sz w:val="20"/>
                <w:szCs w:val="20"/>
              </w:rPr>
            </w:pPr>
          </w:p>
        </w:tc>
        <w:tc>
          <w:tcPr>
            <w:tcW w:w="1447" w:type="dxa"/>
          </w:tcPr>
          <w:p>
            <w:pPr>
              <w:spacing w:line="264" w:lineRule="auto"/>
              <w:ind w:firstLine="400" w:firstLineChars="200"/>
              <w:rPr>
                <w:rFonts w:hint="eastAsia" w:ascii="华文楷体" w:hAnsi="华文楷体" w:eastAsia="华文楷体" w:cs="华文楷体"/>
                <w:color w:val="auto"/>
                <w:sz w:val="20"/>
                <w:szCs w:val="20"/>
              </w:rPr>
            </w:pPr>
          </w:p>
        </w:tc>
        <w:tc>
          <w:tcPr>
            <w:tcW w:w="1076" w:type="dxa"/>
          </w:tcPr>
          <w:p>
            <w:pPr>
              <w:spacing w:line="264" w:lineRule="auto"/>
              <w:ind w:firstLine="400" w:firstLineChars="200"/>
              <w:rPr>
                <w:rFonts w:hint="eastAsia" w:ascii="华文楷体" w:hAnsi="华文楷体" w:eastAsia="华文楷体" w:cs="华文楷体"/>
                <w:color w:val="auto"/>
                <w:sz w:val="20"/>
                <w:szCs w:val="20"/>
              </w:rPr>
            </w:pPr>
          </w:p>
        </w:tc>
        <w:tc>
          <w:tcPr>
            <w:tcW w:w="819" w:type="dxa"/>
          </w:tcPr>
          <w:p>
            <w:pPr>
              <w:spacing w:line="264" w:lineRule="auto"/>
              <w:ind w:firstLine="400" w:firstLineChars="200"/>
              <w:rPr>
                <w:rFonts w:hint="eastAsia" w:ascii="华文楷体" w:hAnsi="华文楷体" w:eastAsia="华文楷体" w:cs="华文楷体"/>
                <w:color w:val="auto"/>
                <w:sz w:val="20"/>
                <w:szCs w:val="20"/>
              </w:rPr>
            </w:pPr>
          </w:p>
        </w:tc>
        <w:tc>
          <w:tcPr>
            <w:tcW w:w="662" w:type="dxa"/>
          </w:tcPr>
          <w:p>
            <w:pPr>
              <w:spacing w:line="264" w:lineRule="auto"/>
              <w:ind w:firstLine="400" w:firstLineChars="200"/>
              <w:rPr>
                <w:rFonts w:hint="eastAsia" w:ascii="华文楷体" w:hAnsi="华文楷体" w:eastAsia="华文楷体" w:cs="华文楷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3" w:type="dxa"/>
            <w:vAlign w:val="center"/>
          </w:tcPr>
          <w:p>
            <w:pPr>
              <w:spacing w:line="264" w:lineRule="auto"/>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w:t>
            </w:r>
          </w:p>
        </w:tc>
        <w:tc>
          <w:tcPr>
            <w:tcW w:w="1063" w:type="dxa"/>
          </w:tcPr>
          <w:p>
            <w:pPr>
              <w:spacing w:line="264" w:lineRule="auto"/>
              <w:ind w:firstLine="400" w:firstLineChars="200"/>
              <w:rPr>
                <w:rFonts w:hint="eastAsia" w:ascii="华文楷体" w:hAnsi="华文楷体" w:eastAsia="华文楷体" w:cs="华文楷体"/>
                <w:color w:val="auto"/>
                <w:sz w:val="20"/>
                <w:szCs w:val="20"/>
              </w:rPr>
            </w:pPr>
          </w:p>
        </w:tc>
        <w:tc>
          <w:tcPr>
            <w:tcW w:w="775" w:type="dxa"/>
          </w:tcPr>
          <w:p>
            <w:pPr>
              <w:spacing w:line="264" w:lineRule="auto"/>
              <w:ind w:firstLine="400" w:firstLineChars="200"/>
              <w:rPr>
                <w:rFonts w:hint="eastAsia" w:ascii="华文楷体" w:hAnsi="华文楷体" w:eastAsia="华文楷体" w:cs="华文楷体"/>
                <w:color w:val="auto"/>
                <w:sz w:val="20"/>
                <w:szCs w:val="20"/>
              </w:rPr>
            </w:pPr>
          </w:p>
        </w:tc>
        <w:tc>
          <w:tcPr>
            <w:tcW w:w="768" w:type="dxa"/>
          </w:tcPr>
          <w:p>
            <w:pPr>
              <w:spacing w:line="264" w:lineRule="auto"/>
              <w:ind w:firstLine="400" w:firstLineChars="200"/>
              <w:rPr>
                <w:rFonts w:hint="eastAsia" w:ascii="华文楷体" w:hAnsi="华文楷体" w:eastAsia="华文楷体" w:cs="华文楷体"/>
                <w:color w:val="auto"/>
                <w:sz w:val="20"/>
                <w:szCs w:val="20"/>
              </w:rPr>
            </w:pPr>
          </w:p>
        </w:tc>
        <w:tc>
          <w:tcPr>
            <w:tcW w:w="1165" w:type="dxa"/>
          </w:tcPr>
          <w:p>
            <w:pPr>
              <w:spacing w:line="264" w:lineRule="auto"/>
              <w:ind w:firstLine="400" w:firstLineChars="200"/>
              <w:rPr>
                <w:rFonts w:hint="eastAsia" w:ascii="华文楷体" w:hAnsi="华文楷体" w:eastAsia="华文楷体" w:cs="华文楷体"/>
                <w:color w:val="auto"/>
                <w:sz w:val="20"/>
                <w:szCs w:val="20"/>
              </w:rPr>
            </w:pPr>
          </w:p>
        </w:tc>
        <w:tc>
          <w:tcPr>
            <w:tcW w:w="1447" w:type="dxa"/>
          </w:tcPr>
          <w:p>
            <w:pPr>
              <w:spacing w:line="264" w:lineRule="auto"/>
              <w:ind w:firstLine="400" w:firstLineChars="200"/>
              <w:rPr>
                <w:rFonts w:hint="eastAsia" w:ascii="华文楷体" w:hAnsi="华文楷体" w:eastAsia="华文楷体" w:cs="华文楷体"/>
                <w:color w:val="auto"/>
                <w:sz w:val="20"/>
                <w:szCs w:val="20"/>
              </w:rPr>
            </w:pPr>
          </w:p>
        </w:tc>
        <w:tc>
          <w:tcPr>
            <w:tcW w:w="1076" w:type="dxa"/>
          </w:tcPr>
          <w:p>
            <w:pPr>
              <w:spacing w:line="264" w:lineRule="auto"/>
              <w:ind w:firstLine="400" w:firstLineChars="200"/>
              <w:rPr>
                <w:rFonts w:hint="eastAsia" w:ascii="华文楷体" w:hAnsi="华文楷体" w:eastAsia="华文楷体" w:cs="华文楷体"/>
                <w:color w:val="auto"/>
                <w:sz w:val="20"/>
                <w:szCs w:val="20"/>
              </w:rPr>
            </w:pPr>
          </w:p>
        </w:tc>
        <w:tc>
          <w:tcPr>
            <w:tcW w:w="819" w:type="dxa"/>
          </w:tcPr>
          <w:p>
            <w:pPr>
              <w:spacing w:line="264" w:lineRule="auto"/>
              <w:ind w:firstLine="400" w:firstLineChars="200"/>
              <w:rPr>
                <w:rFonts w:hint="eastAsia" w:ascii="华文楷体" w:hAnsi="华文楷体" w:eastAsia="华文楷体" w:cs="华文楷体"/>
                <w:color w:val="auto"/>
                <w:sz w:val="20"/>
                <w:szCs w:val="20"/>
              </w:rPr>
            </w:pPr>
          </w:p>
        </w:tc>
        <w:tc>
          <w:tcPr>
            <w:tcW w:w="662" w:type="dxa"/>
          </w:tcPr>
          <w:p>
            <w:pPr>
              <w:spacing w:line="264" w:lineRule="auto"/>
              <w:ind w:firstLine="400" w:firstLineChars="200"/>
              <w:rPr>
                <w:rFonts w:hint="eastAsia" w:ascii="华文楷体" w:hAnsi="华文楷体" w:eastAsia="华文楷体" w:cs="华文楷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83" w:type="dxa"/>
            <w:vAlign w:val="center"/>
          </w:tcPr>
          <w:p>
            <w:pPr>
              <w:spacing w:line="180" w:lineRule="exact"/>
              <w:jc w:val="center"/>
              <w:rPr>
                <w:rFonts w:hint="eastAsia" w:ascii="华文楷体" w:hAnsi="华文楷体" w:eastAsia="华文楷体" w:cs="华文楷体"/>
                <w:color w:val="auto"/>
                <w:sz w:val="20"/>
                <w:szCs w:val="20"/>
              </w:rPr>
            </w:pPr>
            <w:r>
              <w:rPr>
                <w:rFonts w:hint="eastAsia" w:ascii="华文楷体" w:hAnsi="华文楷体" w:eastAsia="华文楷体" w:cs="华文楷体"/>
                <w:color w:val="auto"/>
                <w:kern w:val="0"/>
                <w:sz w:val="18"/>
                <w:szCs w:val="18"/>
              </w:rPr>
              <w:t>含税总价款</w:t>
            </w:r>
          </w:p>
        </w:tc>
        <w:tc>
          <w:tcPr>
            <w:tcW w:w="7775" w:type="dxa"/>
            <w:gridSpan w:val="8"/>
            <w:vAlign w:val="center"/>
          </w:tcPr>
          <w:p>
            <w:pPr>
              <w:spacing w:line="264" w:lineRule="auto"/>
              <w:rPr>
                <w:rFonts w:hint="eastAsia" w:ascii="华文楷体" w:hAnsi="华文楷体" w:eastAsia="华文楷体" w:cs="华文楷体"/>
                <w:color w:val="auto"/>
                <w:sz w:val="20"/>
                <w:szCs w:val="20"/>
              </w:rPr>
            </w:pPr>
            <w:r>
              <w:rPr>
                <w:rFonts w:hint="eastAsia" w:ascii="华文楷体" w:hAnsi="华文楷体" w:eastAsia="华文楷体" w:cs="华文楷体"/>
                <w:color w:val="auto"/>
                <w:kern w:val="0"/>
                <w:sz w:val="18"/>
                <w:szCs w:val="18"/>
              </w:rPr>
              <w:t xml:space="preserve">大写：                        小写：            税率：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8" w:type="dxa"/>
            <w:gridSpan w:val="9"/>
            <w:vAlign w:val="center"/>
          </w:tcPr>
          <w:p>
            <w:pPr>
              <w:spacing w:line="264" w:lineRule="auto"/>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注：</w:t>
            </w:r>
          </w:p>
        </w:tc>
      </w:tr>
    </w:tbl>
    <w:p>
      <w:pPr>
        <w:spacing w:line="360" w:lineRule="auto"/>
        <w:ind w:firstLine="400" w:firstLineChars="200"/>
        <w:jc w:val="left"/>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2.2本合同采用单价合同计价方式，</w:t>
      </w:r>
      <w:r>
        <w:rPr>
          <w:rFonts w:hint="eastAsia" w:ascii="华文楷体" w:hAnsi="华文楷体" w:eastAsia="华文楷体" w:cs="华文楷体"/>
          <w:color w:val="auto"/>
          <w:sz w:val="20"/>
          <w:szCs w:val="20"/>
          <w:lang w:eastAsia="zh-CN"/>
        </w:rPr>
        <w:t>含税</w:t>
      </w:r>
      <w:r>
        <w:rPr>
          <w:rFonts w:hint="eastAsia" w:ascii="华文楷体" w:hAnsi="华文楷体" w:eastAsia="华文楷体" w:cs="华文楷体"/>
          <w:color w:val="auto"/>
          <w:sz w:val="20"/>
          <w:szCs w:val="20"/>
        </w:rPr>
        <w:t>总价款为甲方</w:t>
      </w:r>
      <w:r>
        <w:rPr>
          <w:rFonts w:hint="eastAsia" w:ascii="华文楷体" w:hAnsi="华文楷体" w:eastAsia="华文楷体" w:cs="华文楷体"/>
          <w:color w:val="auto"/>
          <w:sz w:val="20"/>
          <w:szCs w:val="20"/>
          <w:lang w:val="en-US" w:eastAsia="zh-CN"/>
        </w:rPr>
        <w:t>购买墙体材料</w:t>
      </w:r>
      <w:r>
        <w:rPr>
          <w:rFonts w:hint="eastAsia" w:ascii="华文楷体" w:hAnsi="华文楷体" w:eastAsia="华文楷体" w:cs="华文楷体"/>
          <w:color w:val="auto"/>
          <w:sz w:val="20"/>
          <w:szCs w:val="20"/>
        </w:rPr>
        <w:t>所发生的</w:t>
      </w:r>
      <w:r>
        <w:rPr>
          <w:rFonts w:hint="eastAsia" w:ascii="华文楷体" w:hAnsi="华文楷体" w:eastAsia="华文楷体" w:cs="华文楷体"/>
          <w:color w:val="auto"/>
          <w:sz w:val="20"/>
          <w:szCs w:val="20"/>
          <w:lang w:val="en-US" w:eastAsia="zh-CN"/>
        </w:rPr>
        <w:t>全部</w:t>
      </w:r>
      <w:r>
        <w:rPr>
          <w:rFonts w:hint="eastAsia" w:ascii="华文楷体" w:hAnsi="华文楷体" w:eastAsia="华文楷体" w:cs="华文楷体"/>
          <w:color w:val="auto"/>
          <w:sz w:val="20"/>
          <w:szCs w:val="20"/>
        </w:rPr>
        <w:t>费用。</w:t>
      </w:r>
    </w:p>
    <w:p>
      <w:pPr>
        <w:spacing w:line="264" w:lineRule="auto"/>
        <w:ind w:firstLine="400" w:firstLineChars="200"/>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2.3乙方所提供的墙体材料计量单位为立方米，计算标准为墙体材料外观尺寸，包含内嵌保温材料、空腔孔洞等所占体积，产品应符合</w:t>
      </w:r>
      <w:r>
        <w:rPr>
          <w:rFonts w:hint="eastAsia" w:ascii="华文楷体" w:hAnsi="华文楷体" w:eastAsia="华文楷体" w:cs="华文楷体"/>
          <w:color w:val="auto"/>
          <w:sz w:val="20"/>
          <w:szCs w:val="20"/>
          <w:lang w:eastAsia="zh-CN"/>
        </w:rPr>
        <w:t>本合同</w:t>
      </w:r>
      <w:r>
        <w:rPr>
          <w:rFonts w:hint="eastAsia" w:ascii="华文楷体" w:hAnsi="华文楷体" w:eastAsia="华文楷体" w:cs="华文楷体"/>
          <w:color w:val="auto"/>
          <w:sz w:val="20"/>
          <w:szCs w:val="20"/>
          <w:lang w:val="en-US" w:eastAsia="zh-CN"/>
        </w:rPr>
        <w:t>2.1条的约定，同时符合</w:t>
      </w:r>
      <w:r>
        <w:rPr>
          <w:rFonts w:hint="eastAsia" w:ascii="华文楷体" w:hAnsi="华文楷体" w:eastAsia="华文楷体" w:cs="华文楷体"/>
          <w:color w:val="auto"/>
          <w:sz w:val="20"/>
          <w:szCs w:val="20"/>
        </w:rPr>
        <w:t>国家、行业及本市生产应用现行标准规范。</w:t>
      </w:r>
    </w:p>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r>
        <w:rPr>
          <w:rFonts w:hint="eastAsia" w:ascii="华文楷体" w:hAnsi="华文楷体" w:eastAsia="华文楷体" w:cs="华文楷体"/>
          <w:b/>
          <w:bCs/>
          <w:color w:val="auto"/>
          <w:kern w:val="0"/>
          <w:sz w:val="20"/>
          <w:szCs w:val="20"/>
        </w:rPr>
        <w:t>供货时间</w:t>
      </w:r>
    </w:p>
    <w:p>
      <w:pPr>
        <w:pStyle w:val="16"/>
        <w:numPr>
          <w:ilvl w:val="0"/>
          <w:numId w:val="2"/>
        </w:numPr>
        <w:spacing w:line="520" w:lineRule="exact"/>
        <w:ind w:left="0" w:firstLine="567" w:firstLineChars="0"/>
        <w:rPr>
          <w:rFonts w:hint="eastAsia" w:ascii="仿宋_GB2312" w:hAnsi="仿宋_GB2312" w:eastAsia="仿宋_GB2312" w:cs="仿宋_GB2312"/>
          <w:vanish/>
          <w:color w:val="auto"/>
          <w:sz w:val="24"/>
        </w:rPr>
      </w:pPr>
    </w:p>
    <w:p>
      <w:pPr>
        <w:pStyle w:val="16"/>
        <w:numPr>
          <w:ilvl w:val="0"/>
          <w:numId w:val="2"/>
        </w:numPr>
        <w:spacing w:line="520" w:lineRule="exact"/>
        <w:ind w:left="0" w:firstLine="567" w:firstLineChars="0"/>
        <w:rPr>
          <w:rFonts w:hint="eastAsia" w:ascii="仿宋_GB2312" w:hAnsi="仿宋_GB2312" w:eastAsia="仿宋_GB2312" w:cs="仿宋_GB2312"/>
          <w:vanish/>
          <w:color w:val="auto"/>
          <w:sz w:val="24"/>
        </w:rPr>
      </w:pPr>
    </w:p>
    <w:p>
      <w:pPr>
        <w:pStyle w:val="16"/>
        <w:numPr>
          <w:ilvl w:val="0"/>
          <w:numId w:val="2"/>
        </w:numPr>
        <w:spacing w:line="520" w:lineRule="exact"/>
        <w:ind w:left="0" w:firstLine="567" w:firstLineChars="0"/>
        <w:rPr>
          <w:rFonts w:hint="eastAsia" w:ascii="仿宋_GB2312" w:hAnsi="仿宋_GB2312" w:eastAsia="仿宋_GB2312" w:cs="仿宋_GB2312"/>
          <w:vanish/>
          <w:color w:val="auto"/>
          <w:sz w:val="24"/>
        </w:rPr>
      </w:pPr>
    </w:p>
    <w:p>
      <w:pPr>
        <w:pStyle w:val="15"/>
        <w:spacing w:line="264" w:lineRule="auto"/>
        <w:ind w:firstLine="400"/>
        <w:rPr>
          <w:rFonts w:hint="eastAsia" w:ascii="华文楷体" w:hAnsi="华文楷体" w:eastAsia="华文楷体" w:cs="华文楷体"/>
          <w:color w:val="auto"/>
          <w:kern w:val="0"/>
          <w:sz w:val="20"/>
          <w:szCs w:val="20"/>
          <w:lang w:val="en-US" w:eastAsia="zh-CN"/>
        </w:rPr>
      </w:pPr>
      <w:r>
        <w:rPr>
          <w:rFonts w:hint="eastAsia" w:ascii="华文楷体" w:hAnsi="华文楷体" w:eastAsia="华文楷体" w:cs="华文楷体"/>
          <w:bCs/>
          <w:color w:val="auto"/>
          <w:kern w:val="0"/>
          <w:sz w:val="20"/>
          <w:szCs w:val="20"/>
        </w:rPr>
        <w:t>3.</w:t>
      </w:r>
      <w:r>
        <w:rPr>
          <w:rFonts w:hint="eastAsia" w:ascii="华文楷体" w:hAnsi="华文楷体" w:eastAsia="华文楷体" w:cs="华文楷体"/>
          <w:bCs/>
          <w:color w:val="auto"/>
          <w:kern w:val="0"/>
          <w:sz w:val="20"/>
          <w:szCs w:val="20"/>
          <w:lang w:val="en-US" w:eastAsia="zh-CN"/>
        </w:rPr>
        <w:t>1</w:t>
      </w:r>
      <w:r>
        <w:rPr>
          <w:rFonts w:hint="eastAsia" w:ascii="华文楷体" w:hAnsi="华文楷体" w:eastAsia="华文楷体" w:cs="华文楷体"/>
          <w:color w:val="auto"/>
          <w:kern w:val="0"/>
          <w:sz w:val="20"/>
          <w:szCs w:val="20"/>
        </w:rPr>
        <w:t>供货期</w:t>
      </w:r>
      <w:r>
        <w:rPr>
          <w:rFonts w:hint="eastAsia" w:ascii="华文楷体" w:hAnsi="华文楷体" w:eastAsia="华文楷体" w:cs="华文楷体"/>
          <w:color w:val="auto"/>
          <w:kern w:val="0"/>
          <w:sz w:val="20"/>
          <w:szCs w:val="20"/>
          <w:lang w:val="en-US" w:eastAsia="zh-CN"/>
        </w:rPr>
        <w:t>自</w:t>
      </w:r>
      <w:r>
        <w:rPr>
          <w:rFonts w:hint="eastAsia" w:ascii="华文楷体" w:hAnsi="华文楷体" w:eastAsia="华文楷体" w:cs="华文楷体"/>
          <w:color w:val="auto"/>
          <w:kern w:val="0"/>
          <w:sz w:val="20"/>
          <w:szCs w:val="20"/>
          <w:u w:val="single"/>
        </w:rPr>
        <w:t xml:space="preserve">     </w:t>
      </w:r>
      <w:r>
        <w:rPr>
          <w:rFonts w:hint="eastAsia" w:ascii="华文楷体" w:hAnsi="华文楷体" w:eastAsia="华文楷体" w:cs="华文楷体"/>
          <w:color w:val="auto"/>
          <w:kern w:val="0"/>
          <w:sz w:val="20"/>
          <w:szCs w:val="20"/>
        </w:rPr>
        <w:t>年</w:t>
      </w:r>
      <w:r>
        <w:rPr>
          <w:rFonts w:hint="eastAsia" w:ascii="华文楷体" w:hAnsi="华文楷体" w:eastAsia="华文楷体" w:cs="华文楷体"/>
          <w:color w:val="auto"/>
          <w:kern w:val="0"/>
          <w:sz w:val="20"/>
          <w:szCs w:val="20"/>
          <w:u w:val="single"/>
        </w:rPr>
        <w:t xml:space="preserve">    </w:t>
      </w:r>
      <w:r>
        <w:rPr>
          <w:rFonts w:hint="eastAsia" w:ascii="华文楷体" w:hAnsi="华文楷体" w:eastAsia="华文楷体" w:cs="华文楷体"/>
          <w:color w:val="auto"/>
          <w:kern w:val="0"/>
          <w:sz w:val="20"/>
          <w:szCs w:val="20"/>
        </w:rPr>
        <w:t>月</w:t>
      </w:r>
      <w:r>
        <w:rPr>
          <w:rFonts w:hint="eastAsia" w:ascii="华文楷体" w:hAnsi="华文楷体" w:eastAsia="华文楷体" w:cs="华文楷体"/>
          <w:color w:val="auto"/>
          <w:kern w:val="0"/>
          <w:sz w:val="20"/>
          <w:szCs w:val="20"/>
          <w:u w:val="single"/>
        </w:rPr>
        <w:t xml:space="preserve">     </w:t>
      </w:r>
      <w:r>
        <w:rPr>
          <w:rFonts w:hint="eastAsia" w:ascii="华文楷体" w:hAnsi="华文楷体" w:eastAsia="华文楷体" w:cs="华文楷体"/>
          <w:color w:val="auto"/>
          <w:kern w:val="0"/>
          <w:sz w:val="20"/>
          <w:szCs w:val="20"/>
        </w:rPr>
        <w:t>日至</w:t>
      </w:r>
      <w:r>
        <w:rPr>
          <w:rFonts w:hint="eastAsia" w:ascii="华文楷体" w:hAnsi="华文楷体" w:eastAsia="华文楷体" w:cs="华文楷体"/>
          <w:color w:val="auto"/>
          <w:kern w:val="0"/>
          <w:sz w:val="20"/>
          <w:szCs w:val="20"/>
          <w:u w:val="single"/>
        </w:rPr>
        <w:t xml:space="preserve">     </w:t>
      </w:r>
      <w:r>
        <w:rPr>
          <w:rFonts w:hint="eastAsia" w:ascii="华文楷体" w:hAnsi="华文楷体" w:eastAsia="华文楷体" w:cs="华文楷体"/>
          <w:color w:val="auto"/>
          <w:kern w:val="0"/>
          <w:sz w:val="20"/>
          <w:szCs w:val="20"/>
        </w:rPr>
        <w:t>年</w:t>
      </w:r>
      <w:r>
        <w:rPr>
          <w:rFonts w:hint="eastAsia" w:ascii="华文楷体" w:hAnsi="华文楷体" w:eastAsia="华文楷体" w:cs="华文楷体"/>
          <w:color w:val="auto"/>
          <w:kern w:val="0"/>
          <w:sz w:val="20"/>
          <w:szCs w:val="20"/>
          <w:u w:val="single"/>
        </w:rPr>
        <w:t xml:space="preserve">    </w:t>
      </w:r>
      <w:r>
        <w:rPr>
          <w:rFonts w:hint="eastAsia" w:ascii="华文楷体" w:hAnsi="华文楷体" w:eastAsia="华文楷体" w:cs="华文楷体"/>
          <w:color w:val="auto"/>
          <w:kern w:val="0"/>
          <w:sz w:val="20"/>
          <w:szCs w:val="20"/>
        </w:rPr>
        <w:t>月</w:t>
      </w:r>
      <w:r>
        <w:rPr>
          <w:rFonts w:hint="eastAsia" w:ascii="华文楷体" w:hAnsi="华文楷体" w:eastAsia="华文楷体" w:cs="华文楷体"/>
          <w:color w:val="auto"/>
          <w:kern w:val="0"/>
          <w:sz w:val="20"/>
          <w:szCs w:val="20"/>
          <w:u w:val="single"/>
        </w:rPr>
        <w:t xml:space="preserve">    </w:t>
      </w:r>
      <w:r>
        <w:rPr>
          <w:rFonts w:hint="eastAsia" w:ascii="华文楷体" w:hAnsi="华文楷体" w:eastAsia="华文楷体" w:cs="华文楷体"/>
          <w:color w:val="auto"/>
          <w:kern w:val="0"/>
          <w:sz w:val="20"/>
          <w:szCs w:val="20"/>
        </w:rPr>
        <w:t>日，共</w:t>
      </w:r>
      <w:r>
        <w:rPr>
          <w:rFonts w:hint="eastAsia" w:ascii="华文楷体" w:hAnsi="华文楷体" w:eastAsia="华文楷体" w:cs="华文楷体"/>
          <w:color w:val="auto"/>
          <w:kern w:val="0"/>
          <w:sz w:val="20"/>
          <w:szCs w:val="20"/>
          <w:u w:val="single"/>
        </w:rPr>
        <w:t xml:space="preserve">      </w:t>
      </w:r>
      <w:r>
        <w:rPr>
          <w:rFonts w:hint="eastAsia" w:ascii="华文楷体" w:hAnsi="华文楷体" w:eastAsia="华文楷体" w:cs="华文楷体"/>
          <w:color w:val="auto"/>
          <w:kern w:val="0"/>
          <w:sz w:val="20"/>
          <w:szCs w:val="20"/>
        </w:rPr>
        <w:t>日</w:t>
      </w:r>
      <w:r>
        <w:rPr>
          <w:rFonts w:hint="eastAsia" w:ascii="华文楷体" w:hAnsi="华文楷体" w:eastAsia="华文楷体" w:cs="华文楷体"/>
          <w:color w:val="auto"/>
          <w:kern w:val="0"/>
          <w:sz w:val="20"/>
          <w:szCs w:val="20"/>
          <w:lang w:val="en-US" w:eastAsia="zh-CN"/>
        </w:rPr>
        <w:t>。</w:t>
      </w:r>
    </w:p>
    <w:p>
      <w:pPr>
        <w:pStyle w:val="15"/>
        <w:spacing w:line="264" w:lineRule="auto"/>
        <w:ind w:firstLine="400"/>
        <w:rPr>
          <w:rFonts w:hint="eastAsia" w:ascii="华文楷体" w:hAnsi="华文楷体" w:eastAsia="华文楷体" w:cs="华文楷体"/>
          <w:color w:val="auto"/>
          <w:kern w:val="0"/>
          <w:sz w:val="20"/>
          <w:szCs w:val="20"/>
        </w:rPr>
      </w:pPr>
      <w:r>
        <w:rPr>
          <w:rFonts w:hint="eastAsia" w:ascii="华文楷体" w:hAnsi="华文楷体" w:eastAsia="华文楷体" w:cs="华文楷体"/>
          <w:color w:val="auto"/>
          <w:kern w:val="0"/>
          <w:sz w:val="20"/>
          <w:szCs w:val="20"/>
          <w:lang w:val="en-US" w:eastAsia="zh-CN"/>
        </w:rPr>
        <w:t>3.2</w:t>
      </w:r>
      <w:r>
        <w:rPr>
          <w:rFonts w:hint="eastAsia" w:ascii="华文楷体" w:hAnsi="华文楷体" w:eastAsia="华文楷体" w:cs="华文楷体"/>
          <w:bCs/>
          <w:color w:val="auto"/>
          <w:sz w:val="20"/>
          <w:szCs w:val="20"/>
        </w:rPr>
        <w:t>在供货期内不同批次</w:t>
      </w:r>
      <w:r>
        <w:rPr>
          <w:rFonts w:hint="eastAsia" w:ascii="华文楷体" w:hAnsi="华文楷体" w:eastAsia="华文楷体" w:cs="华文楷体"/>
          <w:bCs/>
          <w:color w:val="auto"/>
          <w:sz w:val="20"/>
          <w:szCs w:val="20"/>
          <w:lang w:eastAsia="zh-CN"/>
        </w:rPr>
        <w:t>墙体</w:t>
      </w:r>
      <w:r>
        <w:rPr>
          <w:rFonts w:hint="eastAsia" w:ascii="华文楷体" w:hAnsi="华文楷体" w:eastAsia="华文楷体" w:cs="华文楷体"/>
          <w:color w:val="auto"/>
          <w:sz w:val="20"/>
          <w:szCs w:val="20"/>
          <w:lang w:val="en-US" w:eastAsia="zh-CN"/>
        </w:rPr>
        <w:t>材料</w:t>
      </w:r>
      <w:r>
        <w:rPr>
          <w:rFonts w:hint="eastAsia" w:ascii="华文楷体" w:hAnsi="华文楷体" w:eastAsia="华文楷体" w:cs="华文楷体"/>
          <w:bCs/>
          <w:color w:val="auto"/>
          <w:sz w:val="20"/>
          <w:szCs w:val="20"/>
        </w:rPr>
        <w:t>的具体</w:t>
      </w:r>
      <w:r>
        <w:rPr>
          <w:rFonts w:hint="eastAsia" w:ascii="华文楷体" w:hAnsi="华文楷体" w:eastAsia="华文楷体" w:cs="华文楷体"/>
          <w:bCs/>
          <w:color w:val="auto"/>
          <w:sz w:val="20"/>
          <w:szCs w:val="20"/>
          <w:lang w:eastAsia="zh-CN"/>
        </w:rPr>
        <w:t>交货</w:t>
      </w:r>
      <w:r>
        <w:rPr>
          <w:rFonts w:hint="eastAsia" w:ascii="华文楷体" w:hAnsi="华文楷体" w:eastAsia="华文楷体" w:cs="华文楷体"/>
          <w:bCs/>
          <w:color w:val="auto"/>
          <w:sz w:val="20"/>
          <w:szCs w:val="20"/>
        </w:rPr>
        <w:t>时间以甲方</w:t>
      </w:r>
      <w:r>
        <w:rPr>
          <w:rFonts w:hint="eastAsia" w:ascii="华文楷体" w:hAnsi="华文楷体" w:eastAsia="华文楷体" w:cs="华文楷体"/>
          <w:bCs/>
          <w:color w:val="auto"/>
          <w:sz w:val="20"/>
          <w:szCs w:val="20"/>
          <w:lang w:eastAsia="zh-CN"/>
        </w:rPr>
        <w:t>书面</w:t>
      </w:r>
      <w:r>
        <w:rPr>
          <w:rFonts w:hint="eastAsia" w:ascii="华文楷体" w:hAnsi="华文楷体" w:eastAsia="华文楷体" w:cs="华文楷体"/>
          <w:bCs/>
          <w:color w:val="auto"/>
          <w:sz w:val="20"/>
          <w:szCs w:val="20"/>
        </w:rPr>
        <w:t>通知为准</w:t>
      </w:r>
      <w:r>
        <w:rPr>
          <w:rFonts w:hint="eastAsia" w:ascii="华文楷体" w:hAnsi="华文楷体" w:eastAsia="华文楷体" w:cs="华文楷体"/>
          <w:color w:val="auto"/>
          <w:kern w:val="0"/>
          <w:sz w:val="20"/>
          <w:szCs w:val="20"/>
        </w:rPr>
        <w:t>。</w:t>
      </w:r>
    </w:p>
    <w:p>
      <w:pPr>
        <w:pStyle w:val="16"/>
        <w:numPr>
          <w:ilvl w:val="0"/>
          <w:numId w:val="2"/>
        </w:numPr>
        <w:spacing w:line="520" w:lineRule="exact"/>
        <w:ind w:left="0" w:firstLine="567" w:firstLineChars="0"/>
        <w:rPr>
          <w:rFonts w:hint="eastAsia" w:ascii="仿宋_GB2312" w:hAnsi="仿宋_GB2312" w:eastAsia="仿宋_GB2312" w:cs="仿宋_GB2312"/>
          <w:vanish/>
          <w:color w:val="auto"/>
          <w:sz w:val="24"/>
        </w:rPr>
      </w:pPr>
      <w:bookmarkStart w:id="2" w:name="_Hlk106021529"/>
    </w:p>
    <w:p>
      <w:pPr>
        <w:pStyle w:val="16"/>
        <w:numPr>
          <w:ilvl w:val="0"/>
          <w:numId w:val="2"/>
        </w:numPr>
        <w:spacing w:line="520" w:lineRule="exact"/>
        <w:ind w:left="0" w:firstLine="567" w:firstLineChars="0"/>
        <w:rPr>
          <w:rFonts w:hint="eastAsia" w:ascii="仿宋_GB2312" w:hAnsi="仿宋_GB2312" w:eastAsia="仿宋_GB2312" w:cs="仿宋_GB2312"/>
          <w:vanish/>
          <w:color w:val="auto"/>
          <w:sz w:val="24"/>
        </w:rPr>
      </w:pPr>
    </w:p>
    <w:p>
      <w:pPr>
        <w:pStyle w:val="16"/>
        <w:numPr>
          <w:ilvl w:val="0"/>
          <w:numId w:val="2"/>
        </w:numPr>
        <w:spacing w:line="520" w:lineRule="exact"/>
        <w:ind w:left="0" w:firstLine="567" w:firstLineChars="0"/>
        <w:rPr>
          <w:rFonts w:hint="eastAsia" w:ascii="仿宋_GB2312" w:hAnsi="仿宋_GB2312" w:eastAsia="仿宋_GB2312" w:cs="仿宋_GB2312"/>
          <w:vanish/>
          <w:color w:val="auto"/>
          <w:sz w:val="24"/>
        </w:rPr>
      </w:pPr>
    </w:p>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bookmarkStart w:id="3" w:name="_Hlk106021647"/>
      <w:bookmarkStart w:id="4" w:name="_Hlk106022168"/>
      <w:r>
        <w:rPr>
          <w:rFonts w:hint="eastAsia" w:ascii="华文楷体" w:hAnsi="华文楷体" w:eastAsia="华文楷体" w:cs="华文楷体"/>
          <w:b/>
          <w:bCs/>
          <w:color w:val="auto"/>
          <w:kern w:val="0"/>
          <w:sz w:val="20"/>
          <w:szCs w:val="20"/>
        </w:rPr>
        <w:t>交货检测及验收对账</w:t>
      </w:r>
    </w:p>
    <w:bookmarkEnd w:id="3"/>
    <w:p>
      <w:pPr>
        <w:pStyle w:val="16"/>
        <w:numPr>
          <w:ilvl w:val="0"/>
          <w:numId w:val="3"/>
        </w:numPr>
        <w:spacing w:line="520" w:lineRule="exact"/>
        <w:ind w:left="0" w:firstLine="567" w:firstLineChars="0"/>
        <w:rPr>
          <w:rFonts w:hint="eastAsia" w:ascii="仿宋_GB2312" w:hAnsi="仿宋_GB2312" w:eastAsia="仿宋_GB2312" w:cs="仿宋_GB2312"/>
          <w:vanish/>
          <w:color w:val="auto"/>
          <w:sz w:val="24"/>
        </w:rPr>
      </w:pPr>
    </w:p>
    <w:p>
      <w:pPr>
        <w:pStyle w:val="16"/>
        <w:spacing w:line="264" w:lineRule="auto"/>
        <w:ind w:firstLine="400"/>
        <w:rPr>
          <w:rFonts w:hint="eastAsia" w:ascii="华文楷体" w:hAnsi="华文楷体" w:eastAsia="华文楷体" w:cs="华文楷体"/>
          <w:color w:val="auto"/>
          <w:sz w:val="20"/>
          <w:szCs w:val="20"/>
        </w:rPr>
      </w:pPr>
      <w:bookmarkStart w:id="5" w:name="_Hlk105937435"/>
      <w:r>
        <w:rPr>
          <w:rFonts w:hint="eastAsia" w:ascii="华文楷体" w:hAnsi="华文楷体" w:eastAsia="华文楷体" w:cs="华文楷体"/>
          <w:color w:val="auto"/>
          <w:sz w:val="20"/>
          <w:szCs w:val="20"/>
          <w:lang w:val="en-US" w:eastAsia="zh-CN"/>
        </w:rPr>
        <w:t>4</w:t>
      </w:r>
      <w:r>
        <w:rPr>
          <w:rFonts w:hint="eastAsia" w:ascii="华文楷体" w:hAnsi="华文楷体" w:eastAsia="华文楷体" w:cs="华文楷体"/>
          <w:color w:val="auto"/>
          <w:sz w:val="20"/>
          <w:szCs w:val="20"/>
        </w:rPr>
        <w:t>.1交货方式</w:t>
      </w:r>
      <w:bookmarkEnd w:id="5"/>
      <w:r>
        <w:rPr>
          <w:rFonts w:hint="eastAsia" w:ascii="华文楷体" w:hAnsi="华文楷体" w:eastAsia="华文楷体" w:cs="华文楷体"/>
          <w:color w:val="auto"/>
          <w:sz w:val="20"/>
          <w:szCs w:val="20"/>
        </w:rPr>
        <w:t>：甲乙双方协商一致，执行第</w:t>
      </w:r>
      <w:r>
        <w:rPr>
          <w:rFonts w:hint="eastAsia" w:ascii="华文楷体" w:hAnsi="华文楷体" w:eastAsia="华文楷体" w:cs="华文楷体"/>
          <w:color w:val="auto"/>
          <w:sz w:val="20"/>
          <w:szCs w:val="20"/>
          <w:u w:val="single"/>
        </w:rPr>
        <w:t xml:space="preserve">    </w:t>
      </w:r>
      <w:r>
        <w:rPr>
          <w:rFonts w:hint="eastAsia" w:ascii="华文楷体" w:hAnsi="华文楷体" w:eastAsia="华文楷体" w:cs="华文楷体"/>
          <w:color w:val="auto"/>
          <w:sz w:val="20"/>
          <w:szCs w:val="20"/>
        </w:rPr>
        <w:t>种交货方式。</w:t>
      </w:r>
    </w:p>
    <w:p>
      <w:pPr>
        <w:pStyle w:val="16"/>
        <w:spacing w:line="264" w:lineRule="auto"/>
        <w:ind w:firstLine="400"/>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lang w:val="en-US" w:eastAsia="zh-CN"/>
        </w:rPr>
        <w:t>4</w:t>
      </w:r>
      <w:r>
        <w:rPr>
          <w:rFonts w:hint="eastAsia" w:ascii="华文楷体" w:hAnsi="华文楷体" w:eastAsia="华文楷体" w:cs="华文楷体"/>
          <w:color w:val="auto"/>
          <w:sz w:val="20"/>
          <w:szCs w:val="20"/>
        </w:rPr>
        <w:t>.1.</w:t>
      </w:r>
      <w:r>
        <w:rPr>
          <w:rFonts w:hint="eastAsia" w:ascii="华文楷体" w:hAnsi="华文楷体" w:eastAsia="华文楷体" w:cs="华文楷体"/>
          <w:color w:val="auto"/>
          <w:sz w:val="20"/>
          <w:szCs w:val="20"/>
          <w:lang w:val="en-US" w:eastAsia="zh-CN"/>
        </w:rPr>
        <w:t>1</w:t>
      </w:r>
      <w:r>
        <w:rPr>
          <w:rFonts w:hint="eastAsia" w:ascii="华文楷体" w:hAnsi="华文楷体" w:eastAsia="华文楷体" w:cs="华文楷体"/>
          <w:color w:val="auto"/>
          <w:sz w:val="20"/>
          <w:szCs w:val="20"/>
        </w:rPr>
        <w:t xml:space="preserve"> 送货卸车。乙方送货至甲方指定地点；由乙方组织卸车。</w:t>
      </w:r>
      <w:r>
        <w:rPr>
          <w:rFonts w:hint="eastAsia" w:ascii="华文楷体" w:hAnsi="华文楷体" w:eastAsia="华文楷体" w:cs="华文楷体"/>
          <w:color w:val="auto"/>
          <w:sz w:val="20"/>
          <w:szCs w:val="20"/>
          <w:lang w:eastAsia="zh-CN"/>
        </w:rPr>
        <w:t>货物卸车完成后，风险转移至甲方。</w:t>
      </w:r>
    </w:p>
    <w:p>
      <w:pPr>
        <w:pStyle w:val="16"/>
        <w:spacing w:line="264" w:lineRule="auto"/>
        <w:ind w:firstLine="400"/>
        <w:rPr>
          <w:rFonts w:hint="eastAsia" w:ascii="华文楷体" w:hAnsi="华文楷体" w:eastAsia="华文楷体" w:cs="华文楷体"/>
          <w:color w:val="auto"/>
          <w:sz w:val="20"/>
          <w:szCs w:val="20"/>
          <w:lang w:eastAsia="zh-CN"/>
        </w:rPr>
      </w:pPr>
      <w:r>
        <w:rPr>
          <w:rFonts w:hint="eastAsia" w:ascii="华文楷体" w:hAnsi="华文楷体" w:eastAsia="华文楷体" w:cs="华文楷体"/>
          <w:color w:val="auto"/>
          <w:sz w:val="20"/>
          <w:szCs w:val="20"/>
          <w:lang w:val="en-US" w:eastAsia="zh-CN"/>
        </w:rPr>
        <w:t>4</w:t>
      </w:r>
      <w:r>
        <w:rPr>
          <w:rFonts w:hint="eastAsia" w:ascii="华文楷体" w:hAnsi="华文楷体" w:eastAsia="华文楷体" w:cs="华文楷体"/>
          <w:color w:val="auto"/>
          <w:sz w:val="20"/>
          <w:szCs w:val="20"/>
        </w:rPr>
        <w:t>.1.</w:t>
      </w:r>
      <w:r>
        <w:rPr>
          <w:rFonts w:hint="eastAsia" w:ascii="华文楷体" w:hAnsi="华文楷体" w:eastAsia="华文楷体" w:cs="华文楷体"/>
          <w:color w:val="auto"/>
          <w:sz w:val="20"/>
          <w:szCs w:val="20"/>
          <w:lang w:val="en-US" w:eastAsia="zh-CN"/>
        </w:rPr>
        <w:t>2</w:t>
      </w:r>
      <w:r>
        <w:rPr>
          <w:rFonts w:hint="eastAsia" w:ascii="华文楷体" w:hAnsi="华文楷体" w:eastAsia="华文楷体" w:cs="华文楷体"/>
          <w:color w:val="auto"/>
          <w:sz w:val="20"/>
          <w:szCs w:val="20"/>
        </w:rPr>
        <w:t xml:space="preserve"> 送货不卸车。乙方送货至甲方指定地点；由甲方组织卸车。</w:t>
      </w:r>
      <w:r>
        <w:rPr>
          <w:rFonts w:hint="eastAsia" w:ascii="华文楷体" w:hAnsi="华文楷体" w:eastAsia="华文楷体" w:cs="华文楷体"/>
          <w:color w:val="auto"/>
          <w:sz w:val="20"/>
          <w:szCs w:val="20"/>
          <w:lang w:eastAsia="zh-CN"/>
        </w:rPr>
        <w:t>货物送达甲方指定地点后，风险转移至甲方。</w:t>
      </w:r>
    </w:p>
    <w:p>
      <w:pPr>
        <w:pStyle w:val="16"/>
        <w:spacing w:line="264" w:lineRule="auto"/>
        <w:ind w:firstLine="0" w:firstLineChars="0"/>
        <w:rPr>
          <w:rFonts w:hint="eastAsia" w:ascii="华文楷体" w:hAnsi="华文楷体" w:eastAsia="华文楷体" w:cs="华文楷体"/>
          <w:color w:val="auto"/>
          <w:sz w:val="20"/>
          <w:szCs w:val="20"/>
        </w:rPr>
      </w:pPr>
      <w:r>
        <w:rPr>
          <w:rFonts w:hint="eastAsia" w:ascii="华文楷体" w:hAnsi="华文楷体" w:eastAsia="华文楷体" w:cs="华文楷体"/>
          <w:bCs/>
          <w:color w:val="auto"/>
          <w:kern w:val="0"/>
          <w:sz w:val="20"/>
          <w:szCs w:val="20"/>
        </w:rPr>
        <w:t xml:space="preserve">    </w:t>
      </w:r>
      <w:r>
        <w:rPr>
          <w:rFonts w:hint="eastAsia" w:ascii="华文楷体" w:hAnsi="华文楷体" w:eastAsia="华文楷体" w:cs="华文楷体"/>
          <w:color w:val="auto"/>
          <w:sz w:val="20"/>
          <w:szCs w:val="20"/>
          <w:lang w:val="en-US" w:eastAsia="zh-CN"/>
        </w:rPr>
        <w:t>4</w:t>
      </w:r>
      <w:r>
        <w:rPr>
          <w:rFonts w:hint="eastAsia" w:ascii="华文楷体" w:hAnsi="华文楷体" w:eastAsia="华文楷体" w:cs="华文楷体"/>
          <w:color w:val="auto"/>
          <w:sz w:val="20"/>
          <w:szCs w:val="20"/>
        </w:rPr>
        <w:t>.2交货时间：甲方应提前</w:t>
      </w:r>
      <w:r>
        <w:rPr>
          <w:rFonts w:hint="eastAsia" w:ascii="华文楷体" w:hAnsi="华文楷体" w:eastAsia="华文楷体" w:cs="华文楷体"/>
          <w:color w:val="auto"/>
          <w:sz w:val="20"/>
          <w:szCs w:val="20"/>
          <w:u w:val="single"/>
          <w:lang w:val="en-US" w:eastAsia="zh-CN"/>
        </w:rPr>
        <w:t xml:space="preserve">    </w:t>
      </w:r>
      <w:r>
        <w:rPr>
          <w:rFonts w:hint="eastAsia" w:ascii="华文楷体" w:hAnsi="华文楷体" w:eastAsia="华文楷体" w:cs="华文楷体"/>
          <w:color w:val="auto"/>
          <w:sz w:val="20"/>
          <w:szCs w:val="20"/>
          <w:lang w:eastAsia="zh-CN"/>
        </w:rPr>
        <w:t>日</w:t>
      </w:r>
      <w:r>
        <w:rPr>
          <w:rFonts w:hint="eastAsia" w:ascii="华文楷体" w:hAnsi="华文楷体" w:eastAsia="华文楷体" w:cs="华文楷体"/>
          <w:color w:val="auto"/>
          <w:sz w:val="20"/>
          <w:szCs w:val="20"/>
        </w:rPr>
        <w:t>书面通知乙方交货时间，</w:t>
      </w:r>
      <w:r>
        <w:rPr>
          <w:rFonts w:hint="eastAsia" w:ascii="华文楷体" w:hAnsi="华文楷体" w:eastAsia="华文楷体" w:cs="华文楷体"/>
          <w:color w:val="auto"/>
          <w:sz w:val="20"/>
          <w:szCs w:val="20"/>
          <w:lang w:eastAsia="zh-CN"/>
        </w:rPr>
        <w:t>乙方收到甲方通知后应于</w:t>
      </w:r>
      <w:r>
        <w:rPr>
          <w:rFonts w:hint="eastAsia" w:ascii="华文楷体" w:hAnsi="华文楷体" w:eastAsia="华文楷体" w:cs="华文楷体"/>
          <w:color w:val="auto"/>
          <w:sz w:val="20"/>
          <w:szCs w:val="20"/>
          <w:lang w:val="en-US" w:eastAsia="zh-CN"/>
        </w:rPr>
        <w:t xml:space="preserve">    日内书面确认，逾期未确认的视为同意甲方通知的交货时间。</w:t>
      </w:r>
      <w:r>
        <w:rPr>
          <w:rFonts w:hint="eastAsia" w:ascii="华文楷体" w:hAnsi="华文楷体" w:eastAsia="华文楷体" w:cs="华文楷体"/>
          <w:color w:val="auto"/>
          <w:sz w:val="20"/>
          <w:szCs w:val="20"/>
        </w:rPr>
        <w:t xml:space="preserve">      </w:t>
      </w:r>
    </w:p>
    <w:p>
      <w:pPr>
        <w:pStyle w:val="16"/>
        <w:spacing w:line="264" w:lineRule="auto"/>
        <w:ind w:firstLine="0" w:firstLineChars="0"/>
        <w:rPr>
          <w:rFonts w:hint="eastAsia" w:ascii="仿宋_GB2312" w:hAnsi="仿宋_GB2312" w:eastAsia="仿宋_GB2312" w:cs="仿宋_GB2312"/>
          <w:color w:val="auto"/>
          <w:sz w:val="24"/>
        </w:rPr>
      </w:pPr>
      <w:r>
        <w:rPr>
          <w:rFonts w:hint="eastAsia" w:ascii="华文楷体" w:hAnsi="华文楷体" w:eastAsia="华文楷体" w:cs="华文楷体"/>
          <w:bCs/>
          <w:color w:val="auto"/>
          <w:kern w:val="0"/>
          <w:sz w:val="20"/>
          <w:szCs w:val="20"/>
        </w:rPr>
        <w:t xml:space="preserve">    </w:t>
      </w:r>
      <w:r>
        <w:rPr>
          <w:rFonts w:hint="eastAsia" w:ascii="华文楷体" w:hAnsi="华文楷体" w:eastAsia="华文楷体" w:cs="华文楷体"/>
          <w:bCs/>
          <w:color w:val="auto"/>
          <w:kern w:val="0"/>
          <w:sz w:val="20"/>
          <w:szCs w:val="20"/>
          <w:lang w:val="en-US" w:eastAsia="zh-CN"/>
        </w:rPr>
        <w:t>4</w:t>
      </w:r>
      <w:r>
        <w:rPr>
          <w:rFonts w:hint="eastAsia" w:ascii="华文楷体" w:hAnsi="华文楷体" w:eastAsia="华文楷体" w:cs="华文楷体"/>
          <w:bCs/>
          <w:color w:val="auto"/>
          <w:kern w:val="0"/>
          <w:sz w:val="20"/>
          <w:szCs w:val="20"/>
        </w:rPr>
        <w:t>.3货物交接地点：</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u w:val="single"/>
          <w:lang w:val="en-US" w:eastAsia="zh-CN"/>
        </w:rPr>
        <w:t xml:space="preserve">                       </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 xml:space="preserve"> </w:t>
      </w:r>
    </w:p>
    <w:p>
      <w:pPr>
        <w:pStyle w:val="16"/>
        <w:spacing w:line="264" w:lineRule="auto"/>
        <w:ind w:firstLine="0" w:firstLineChars="0"/>
        <w:rPr>
          <w:rFonts w:hint="eastAsia" w:ascii="仿宋_GB2312" w:hAnsi="仿宋_GB2312" w:eastAsia="仿宋_GB2312" w:cs="仿宋_GB2312"/>
          <w:color w:val="auto"/>
          <w:sz w:val="24"/>
        </w:rPr>
      </w:pPr>
      <w:r>
        <w:rPr>
          <w:rFonts w:hint="eastAsia" w:ascii="华文楷体" w:hAnsi="华文楷体" w:eastAsia="华文楷体" w:cs="华文楷体"/>
          <w:bCs/>
          <w:color w:val="auto"/>
          <w:kern w:val="0"/>
          <w:sz w:val="20"/>
          <w:szCs w:val="20"/>
        </w:rPr>
        <w:t xml:space="preserve">    </w:t>
      </w:r>
      <w:r>
        <w:rPr>
          <w:rFonts w:hint="eastAsia" w:ascii="华文楷体" w:hAnsi="华文楷体" w:eastAsia="华文楷体" w:cs="华文楷体"/>
          <w:bCs/>
          <w:color w:val="auto"/>
          <w:kern w:val="0"/>
          <w:sz w:val="20"/>
          <w:szCs w:val="20"/>
          <w:lang w:val="en-US" w:eastAsia="zh-CN"/>
        </w:rPr>
        <w:t>4</w:t>
      </w:r>
      <w:r>
        <w:rPr>
          <w:rFonts w:hint="eastAsia" w:ascii="华文楷体" w:hAnsi="华文楷体" w:eastAsia="华文楷体" w:cs="华文楷体"/>
          <w:bCs/>
          <w:color w:val="auto"/>
          <w:kern w:val="0"/>
          <w:sz w:val="20"/>
          <w:szCs w:val="20"/>
        </w:rPr>
        <w:t>.4甲方授权指定</w:t>
      </w:r>
      <w:bookmarkStart w:id="6" w:name="_Hlk144908161"/>
      <w:r>
        <w:rPr>
          <w:rFonts w:hint="eastAsia" w:ascii="华文楷体" w:hAnsi="华文楷体" w:eastAsia="华文楷体" w:cs="华文楷体"/>
          <w:bCs/>
          <w:color w:val="auto"/>
          <w:kern w:val="0"/>
          <w:sz w:val="20"/>
          <w:szCs w:val="20"/>
        </w:rPr>
        <w:t>（姓名、联系电话、身份证号）</w:t>
      </w:r>
      <w:r>
        <w:rPr>
          <w:rFonts w:ascii="仿宋_GB2312" w:hAnsi="仿宋_GB2312" w:eastAsia="仿宋_GB2312" w:cs="仿宋_GB2312"/>
          <w:color w:val="auto"/>
          <w:sz w:val="24"/>
          <w:u w:val="single"/>
        </w:rPr>
        <w:t xml:space="preserve">        </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u w:val="single"/>
          <w:lang w:val="en-US" w:eastAsia="zh-CN"/>
        </w:rPr>
        <w:t xml:space="preserve">                </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 xml:space="preserve">                                                    </w:t>
      </w:r>
    </w:p>
    <w:p>
      <w:pPr>
        <w:spacing w:line="264" w:lineRule="auto"/>
        <w:rPr>
          <w:rFonts w:hint="eastAsia" w:ascii="华文楷体" w:hAnsi="华文楷体" w:eastAsia="华文楷体" w:cs="华文楷体"/>
          <w:bCs/>
          <w:color w:val="auto"/>
          <w:kern w:val="0"/>
          <w:sz w:val="20"/>
          <w:szCs w:val="20"/>
        </w:rPr>
      </w:pPr>
      <w:r>
        <w:rPr>
          <w:rFonts w:ascii="仿宋_GB2312" w:hAnsi="仿宋_GB2312" w:eastAsia="仿宋_GB2312" w:cs="仿宋_GB2312"/>
          <w:color w:val="auto"/>
          <w:sz w:val="24"/>
          <w:u w:val="single"/>
        </w:rPr>
        <w:t xml:space="preserve">                     </w:t>
      </w:r>
      <w:r>
        <w:rPr>
          <w:rFonts w:hint="eastAsia" w:ascii="华文楷体" w:hAnsi="华文楷体" w:eastAsia="华文楷体" w:cs="华文楷体"/>
          <w:bCs/>
          <w:color w:val="auto"/>
          <w:kern w:val="0"/>
          <w:sz w:val="20"/>
          <w:szCs w:val="20"/>
        </w:rPr>
        <w:t>作为</w:t>
      </w:r>
      <w:bookmarkEnd w:id="6"/>
      <w:r>
        <w:rPr>
          <w:rFonts w:hint="eastAsia" w:ascii="华文楷体" w:hAnsi="华文楷体" w:eastAsia="华文楷体" w:cs="华文楷体"/>
          <w:bCs/>
          <w:color w:val="auto"/>
          <w:kern w:val="0"/>
          <w:sz w:val="20"/>
          <w:szCs w:val="20"/>
        </w:rPr>
        <w:t>业务联络人，负责业务沟通、文件签署、墙体材料签收及对账。</w:t>
      </w:r>
    </w:p>
    <w:p>
      <w:pPr>
        <w:pStyle w:val="16"/>
        <w:spacing w:line="264" w:lineRule="auto"/>
        <w:ind w:firstLine="0" w:firstLineChars="0"/>
        <w:rPr>
          <w:rFonts w:hint="eastAsia" w:ascii="仿宋_GB2312" w:hAnsi="仿宋_GB2312" w:eastAsia="仿宋_GB2312" w:cs="仿宋_GB2312"/>
          <w:color w:val="auto"/>
          <w:sz w:val="24"/>
        </w:rPr>
      </w:pPr>
      <w:r>
        <w:rPr>
          <w:rFonts w:hint="eastAsia" w:ascii="华文楷体" w:hAnsi="华文楷体" w:eastAsia="华文楷体" w:cs="华文楷体"/>
          <w:bCs/>
          <w:color w:val="auto"/>
          <w:kern w:val="0"/>
          <w:sz w:val="20"/>
          <w:szCs w:val="20"/>
        </w:rPr>
        <w:t xml:space="preserve">    </w:t>
      </w:r>
      <w:r>
        <w:rPr>
          <w:rFonts w:hint="eastAsia" w:ascii="华文楷体" w:hAnsi="华文楷体" w:eastAsia="华文楷体" w:cs="华文楷体"/>
          <w:bCs/>
          <w:color w:val="auto"/>
          <w:kern w:val="0"/>
          <w:sz w:val="20"/>
          <w:szCs w:val="20"/>
          <w:lang w:val="en-US" w:eastAsia="zh-CN"/>
        </w:rPr>
        <w:t>4</w:t>
      </w:r>
      <w:r>
        <w:rPr>
          <w:rFonts w:hint="eastAsia" w:ascii="华文楷体" w:hAnsi="华文楷体" w:eastAsia="华文楷体" w:cs="华文楷体"/>
          <w:bCs/>
          <w:color w:val="auto"/>
          <w:kern w:val="0"/>
          <w:sz w:val="20"/>
          <w:szCs w:val="20"/>
        </w:rPr>
        <w:t>.5乙方授权指定（姓名、联系电话、身份证号）</w:t>
      </w:r>
      <w:r>
        <w:rPr>
          <w:rFonts w:hint="eastAsia" w:ascii="仿宋_GB2312" w:hAnsi="仿宋_GB2312" w:eastAsia="仿宋_GB2312" w:cs="仿宋_GB2312"/>
          <w:color w:val="auto"/>
          <w:sz w:val="24"/>
          <w:u w:val="single"/>
        </w:rPr>
        <w:t xml:space="preserve"> </w:t>
      </w:r>
      <w:r>
        <w:rPr>
          <w:rFonts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rPr>
        <w:t xml:space="preserve"> </w:t>
      </w:r>
      <w:r>
        <w:rPr>
          <w:rFonts w:ascii="仿宋_GB2312" w:hAnsi="仿宋_GB2312" w:eastAsia="仿宋_GB2312" w:cs="仿宋_GB2312"/>
          <w:color w:val="auto"/>
          <w:sz w:val="24"/>
          <w:u w:val="single"/>
        </w:rPr>
        <w:t xml:space="preserve">                                                      </w:t>
      </w:r>
      <w:r>
        <w:rPr>
          <w:rFonts w:ascii="仿宋_GB2312" w:hAnsi="仿宋_GB2312" w:eastAsia="仿宋_GB2312" w:cs="仿宋_GB2312"/>
          <w:color w:val="auto"/>
          <w:sz w:val="24"/>
        </w:rPr>
        <w:t xml:space="preserve"> </w:t>
      </w:r>
    </w:p>
    <w:p>
      <w:pPr>
        <w:pStyle w:val="16"/>
        <w:spacing w:line="264" w:lineRule="auto"/>
        <w:ind w:firstLine="0" w:firstLineChars="0"/>
        <w:rPr>
          <w:rFonts w:hint="eastAsia" w:ascii="华文楷体" w:hAnsi="华文楷体" w:eastAsia="华文楷体" w:cs="华文楷体"/>
          <w:bCs/>
          <w:color w:val="auto"/>
          <w:kern w:val="0"/>
          <w:sz w:val="20"/>
          <w:szCs w:val="20"/>
        </w:rPr>
      </w:pPr>
      <w:r>
        <w:rPr>
          <w:rFonts w:ascii="仿宋_GB2312" w:hAnsi="仿宋_GB2312" w:eastAsia="仿宋_GB2312" w:cs="仿宋_GB2312"/>
          <w:color w:val="auto"/>
          <w:sz w:val="24"/>
          <w:u w:val="single"/>
        </w:rPr>
        <w:t xml:space="preserve">                     </w:t>
      </w:r>
      <w:r>
        <w:rPr>
          <w:rFonts w:hint="eastAsia" w:ascii="华文楷体" w:hAnsi="华文楷体" w:eastAsia="华文楷体" w:cs="华文楷体"/>
          <w:bCs/>
          <w:color w:val="auto"/>
          <w:kern w:val="0"/>
          <w:sz w:val="20"/>
          <w:szCs w:val="20"/>
        </w:rPr>
        <w:t>作为业务联络人，负责业务沟通、文件签署、墙体材料交</w:t>
      </w:r>
      <w:r>
        <w:rPr>
          <w:rFonts w:hint="eastAsia" w:ascii="华文楷体" w:hAnsi="华文楷体" w:eastAsia="华文楷体" w:cs="华文楷体"/>
          <w:bCs/>
          <w:color w:val="auto"/>
          <w:kern w:val="0"/>
          <w:sz w:val="20"/>
          <w:szCs w:val="20"/>
          <w:lang w:eastAsia="zh-CN"/>
        </w:rPr>
        <w:t>货</w:t>
      </w:r>
      <w:r>
        <w:rPr>
          <w:rFonts w:hint="eastAsia" w:ascii="华文楷体" w:hAnsi="华文楷体" w:eastAsia="华文楷体" w:cs="华文楷体"/>
          <w:bCs/>
          <w:color w:val="auto"/>
          <w:kern w:val="0"/>
          <w:sz w:val="20"/>
          <w:szCs w:val="20"/>
        </w:rPr>
        <w:t>及对账。</w:t>
      </w:r>
    </w:p>
    <w:p>
      <w:pPr>
        <w:pStyle w:val="16"/>
        <w:spacing w:line="264" w:lineRule="auto"/>
        <w:ind w:firstLine="400"/>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lang w:val="en-US" w:eastAsia="zh-CN"/>
        </w:rPr>
        <w:t>4</w:t>
      </w:r>
      <w:r>
        <w:rPr>
          <w:rFonts w:hint="eastAsia" w:ascii="华文楷体" w:hAnsi="华文楷体" w:eastAsia="华文楷体" w:cs="华文楷体"/>
          <w:color w:val="auto"/>
          <w:sz w:val="20"/>
          <w:szCs w:val="20"/>
        </w:rPr>
        <w:t>.</w:t>
      </w:r>
      <w:r>
        <w:rPr>
          <w:rFonts w:hint="eastAsia" w:ascii="华文楷体" w:hAnsi="华文楷体" w:eastAsia="华文楷体" w:cs="华文楷体"/>
          <w:color w:val="auto"/>
          <w:sz w:val="20"/>
          <w:szCs w:val="20"/>
          <w:lang w:val="en-US" w:eastAsia="zh-CN"/>
        </w:rPr>
        <w:t>6</w:t>
      </w:r>
      <w:r>
        <w:rPr>
          <w:rFonts w:hint="eastAsia" w:ascii="华文楷体" w:hAnsi="华文楷体" w:eastAsia="华文楷体" w:cs="华文楷体"/>
          <w:color w:val="auto"/>
          <w:sz w:val="20"/>
          <w:szCs w:val="20"/>
        </w:rPr>
        <w:t>产品运输时，</w:t>
      </w:r>
      <w:r>
        <w:rPr>
          <w:rFonts w:hint="eastAsia" w:ascii="华文楷体" w:hAnsi="华文楷体" w:eastAsia="华文楷体" w:cs="华文楷体"/>
          <w:color w:val="auto"/>
          <w:sz w:val="20"/>
          <w:szCs w:val="20"/>
          <w:lang w:val="en-US" w:eastAsia="zh-CN"/>
        </w:rPr>
        <w:t>应</w:t>
      </w:r>
      <w:r>
        <w:rPr>
          <w:rFonts w:hint="default" w:ascii="华文楷体" w:hAnsi="华文楷体" w:eastAsia="华文楷体" w:cs="华文楷体"/>
          <w:color w:val="auto"/>
          <w:sz w:val="20"/>
          <w:szCs w:val="20"/>
          <w:lang w:val="en-US"/>
        </w:rPr>
        <w:t>成</w:t>
      </w:r>
      <w:r>
        <w:rPr>
          <w:rFonts w:hint="eastAsia" w:ascii="华文楷体" w:hAnsi="华文楷体" w:eastAsia="华文楷体" w:cs="华文楷体"/>
          <w:color w:val="auto"/>
          <w:sz w:val="20"/>
          <w:szCs w:val="20"/>
        </w:rPr>
        <w:t>垛绑扎或有其他包装</w:t>
      </w:r>
      <w:r>
        <w:rPr>
          <w:rFonts w:hint="eastAsia" w:ascii="华文楷体" w:hAnsi="华文楷体" w:eastAsia="华文楷体" w:cs="华文楷体"/>
          <w:color w:val="auto"/>
          <w:sz w:val="20"/>
          <w:szCs w:val="20"/>
          <w:lang w:eastAsia="zh-CN"/>
        </w:rPr>
        <w:t>；</w:t>
      </w:r>
      <w:r>
        <w:rPr>
          <w:rFonts w:hint="eastAsia" w:ascii="华文楷体" w:hAnsi="华文楷体" w:eastAsia="华文楷体" w:cs="华文楷体"/>
          <w:color w:val="auto"/>
          <w:sz w:val="20"/>
          <w:szCs w:val="20"/>
        </w:rPr>
        <w:t>运输装卸时，</w:t>
      </w:r>
      <w:r>
        <w:rPr>
          <w:rFonts w:hint="eastAsia" w:ascii="华文楷体" w:hAnsi="华文楷体" w:eastAsia="华文楷体" w:cs="华文楷体"/>
          <w:color w:val="auto"/>
          <w:sz w:val="20"/>
          <w:szCs w:val="20"/>
          <w:lang w:val="en-US" w:eastAsia="zh-CN"/>
        </w:rPr>
        <w:t>应</w:t>
      </w:r>
      <w:r>
        <w:rPr>
          <w:rFonts w:hint="eastAsia" w:ascii="华文楷体" w:hAnsi="华文楷体" w:eastAsia="华文楷体" w:cs="华文楷体"/>
          <w:color w:val="auto"/>
          <w:sz w:val="20"/>
          <w:szCs w:val="20"/>
        </w:rPr>
        <w:t>用专用机具。</w:t>
      </w:r>
    </w:p>
    <w:p>
      <w:pPr>
        <w:pStyle w:val="16"/>
        <w:spacing w:line="264" w:lineRule="auto"/>
        <w:ind w:firstLine="400"/>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lang w:val="en-US" w:eastAsia="zh-CN"/>
        </w:rPr>
        <w:t>4</w:t>
      </w:r>
      <w:r>
        <w:rPr>
          <w:rFonts w:hint="eastAsia" w:ascii="华文楷体" w:hAnsi="华文楷体" w:eastAsia="华文楷体" w:cs="华文楷体"/>
          <w:color w:val="auto"/>
          <w:sz w:val="20"/>
          <w:szCs w:val="20"/>
        </w:rPr>
        <w:t>.</w:t>
      </w:r>
      <w:r>
        <w:rPr>
          <w:rFonts w:hint="eastAsia" w:ascii="华文楷体" w:hAnsi="华文楷体" w:eastAsia="华文楷体" w:cs="华文楷体"/>
          <w:color w:val="auto"/>
          <w:sz w:val="20"/>
          <w:szCs w:val="20"/>
          <w:lang w:val="en-US" w:eastAsia="zh-CN"/>
        </w:rPr>
        <w:t>7</w:t>
      </w:r>
      <w:r>
        <w:rPr>
          <w:rFonts w:hint="eastAsia" w:ascii="华文楷体" w:hAnsi="华文楷体" w:eastAsia="华文楷体" w:cs="华文楷体"/>
          <w:color w:val="auto"/>
          <w:sz w:val="20"/>
          <w:szCs w:val="20"/>
        </w:rPr>
        <w:t>产品交货时，甲方组织货物验收和质量</w:t>
      </w:r>
      <w:r>
        <w:rPr>
          <w:rFonts w:hint="eastAsia" w:ascii="华文楷体" w:hAnsi="华文楷体" w:eastAsia="华文楷体" w:cs="华文楷体"/>
          <w:color w:val="auto"/>
          <w:sz w:val="20"/>
          <w:szCs w:val="20"/>
          <w:lang w:eastAsia="zh-CN"/>
        </w:rPr>
        <w:t>检验</w:t>
      </w:r>
      <w:r>
        <w:rPr>
          <w:rFonts w:hint="eastAsia" w:ascii="华文楷体" w:hAnsi="华文楷体" w:eastAsia="华文楷体" w:cs="华文楷体"/>
          <w:color w:val="auto"/>
          <w:sz w:val="20"/>
          <w:szCs w:val="20"/>
        </w:rPr>
        <w:t>，乙方应向甲方提供该批次产品合格证</w:t>
      </w:r>
      <w:r>
        <w:rPr>
          <w:rFonts w:hint="eastAsia" w:ascii="华文楷体" w:hAnsi="华文楷体" w:eastAsia="华文楷体" w:cs="华文楷体"/>
          <w:color w:val="auto"/>
          <w:sz w:val="20"/>
          <w:szCs w:val="20"/>
          <w:lang w:eastAsia="zh-CN"/>
        </w:rPr>
        <w:t>原件、出示</w:t>
      </w:r>
      <w:r>
        <w:rPr>
          <w:rFonts w:hint="eastAsia" w:ascii="华文楷体" w:hAnsi="华文楷体" w:eastAsia="华文楷体" w:cs="华文楷体"/>
          <w:color w:val="auto"/>
          <w:sz w:val="20"/>
          <w:szCs w:val="20"/>
        </w:rPr>
        <w:t>供货期有效的型式检验报告</w:t>
      </w:r>
      <w:r>
        <w:rPr>
          <w:rFonts w:hint="eastAsia" w:ascii="华文楷体" w:hAnsi="华文楷体" w:eastAsia="华文楷体" w:cs="华文楷体"/>
          <w:color w:val="auto"/>
          <w:sz w:val="20"/>
          <w:szCs w:val="20"/>
          <w:lang w:eastAsia="zh-CN"/>
        </w:rPr>
        <w:t>原件并提供加盖乙方公章的复印件</w:t>
      </w:r>
      <w:r>
        <w:rPr>
          <w:rFonts w:hint="eastAsia" w:ascii="华文楷体" w:hAnsi="华文楷体" w:eastAsia="华文楷体" w:cs="华文楷体"/>
          <w:color w:val="auto"/>
          <w:sz w:val="20"/>
          <w:szCs w:val="20"/>
        </w:rPr>
        <w:t>。甲方如果发现墙体材料品类名称、规格参数、外观或质量等不符合本合同约定的，甲方有权拒绝签收，乙方</w:t>
      </w:r>
      <w:r>
        <w:rPr>
          <w:rFonts w:hint="eastAsia" w:ascii="华文楷体" w:hAnsi="华文楷体" w:eastAsia="华文楷体" w:cs="华文楷体"/>
          <w:bCs/>
          <w:color w:val="auto"/>
          <w:kern w:val="0"/>
          <w:sz w:val="20"/>
          <w:szCs w:val="20"/>
          <w:lang w:eastAsia="zh-CN"/>
        </w:rPr>
        <w:t>应当</w:t>
      </w:r>
      <w:r>
        <w:rPr>
          <w:rFonts w:hint="eastAsia" w:ascii="华文楷体" w:hAnsi="华文楷体" w:eastAsia="华文楷体" w:cs="华文楷体"/>
          <w:bCs/>
          <w:color w:val="auto"/>
          <w:kern w:val="0"/>
          <w:sz w:val="20"/>
          <w:szCs w:val="20"/>
        </w:rPr>
        <w:t>在</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日内</w:t>
      </w:r>
      <w:r>
        <w:rPr>
          <w:rFonts w:hint="eastAsia" w:ascii="华文楷体" w:hAnsi="华文楷体" w:eastAsia="华文楷体" w:cs="华文楷体"/>
          <w:color w:val="auto"/>
          <w:sz w:val="20"/>
          <w:szCs w:val="20"/>
        </w:rPr>
        <w:t>将该批次货物全部返厂并承担质量检测、装卸运输等费用，同时</w:t>
      </w:r>
      <w:r>
        <w:rPr>
          <w:rFonts w:hint="eastAsia" w:ascii="华文楷体" w:hAnsi="华文楷体" w:eastAsia="华文楷体" w:cs="华文楷体"/>
          <w:bCs/>
          <w:color w:val="auto"/>
          <w:kern w:val="0"/>
          <w:sz w:val="20"/>
          <w:szCs w:val="20"/>
        </w:rPr>
        <w:t>在</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日内</w:t>
      </w:r>
      <w:r>
        <w:rPr>
          <w:rFonts w:hint="eastAsia" w:ascii="华文楷体" w:hAnsi="华文楷体" w:eastAsia="华文楷体" w:cs="华文楷体"/>
          <w:color w:val="auto"/>
          <w:sz w:val="20"/>
          <w:szCs w:val="20"/>
        </w:rPr>
        <w:t>更换</w:t>
      </w:r>
      <w:r>
        <w:rPr>
          <w:rFonts w:hint="eastAsia" w:ascii="华文楷体" w:hAnsi="华文楷体" w:eastAsia="华文楷体" w:cs="华文楷体"/>
          <w:color w:val="auto"/>
          <w:sz w:val="20"/>
          <w:szCs w:val="20"/>
          <w:lang w:eastAsia="zh-CN"/>
        </w:rPr>
        <w:t>为</w:t>
      </w:r>
      <w:r>
        <w:rPr>
          <w:rFonts w:hint="eastAsia" w:ascii="华文楷体" w:hAnsi="华文楷体" w:eastAsia="华文楷体" w:cs="华文楷体"/>
          <w:color w:val="auto"/>
          <w:sz w:val="20"/>
          <w:szCs w:val="20"/>
        </w:rPr>
        <w:t>符合本合同约定的货物。若出现质量争议，以</w:t>
      </w:r>
      <w:r>
        <w:rPr>
          <w:rFonts w:hint="eastAsia" w:ascii="华文楷体" w:hAnsi="华文楷体" w:eastAsia="华文楷体" w:cs="华文楷体"/>
          <w:color w:val="auto"/>
          <w:sz w:val="20"/>
          <w:szCs w:val="20"/>
          <w:lang w:val="en-US" w:eastAsia="zh-CN"/>
        </w:rPr>
        <w:t>双方共同确认委托的</w:t>
      </w:r>
      <w:r>
        <w:rPr>
          <w:rFonts w:hint="eastAsia" w:ascii="华文楷体" w:hAnsi="华文楷体" w:eastAsia="华文楷体" w:cs="华文楷体"/>
          <w:color w:val="auto"/>
          <w:sz w:val="20"/>
          <w:szCs w:val="20"/>
        </w:rPr>
        <w:t>第三方专业机构检测结果为准。</w:t>
      </w:r>
      <w:r>
        <w:rPr>
          <w:rFonts w:hint="eastAsia" w:ascii="华文楷体" w:hAnsi="华文楷体" w:eastAsia="华文楷体" w:cs="华文楷体"/>
          <w:color w:val="auto"/>
          <w:sz w:val="20"/>
          <w:szCs w:val="20"/>
          <w:lang w:eastAsia="zh-CN"/>
        </w:rPr>
        <w:t>检测费用由异议方先行垫付，最终由检测结果不利的一方承担。</w:t>
      </w:r>
      <w:r>
        <w:rPr>
          <w:rFonts w:hint="eastAsia" w:ascii="华文楷体" w:hAnsi="华文楷体" w:eastAsia="华文楷体" w:cs="华文楷体"/>
          <w:color w:val="auto"/>
          <w:sz w:val="20"/>
          <w:szCs w:val="20"/>
        </w:rPr>
        <w:t>因乙方供应墙体材料质量造成甲方返工的，乙方应承担因返工给甲方带来的实际损失。</w:t>
      </w:r>
    </w:p>
    <w:p>
      <w:pPr>
        <w:pStyle w:val="16"/>
        <w:spacing w:line="264" w:lineRule="auto"/>
        <w:ind w:firstLine="400" w:firstLineChars="0"/>
        <w:rPr>
          <w:rFonts w:hint="eastAsia" w:ascii="华文楷体" w:hAnsi="华文楷体" w:eastAsia="华文楷体" w:cs="华文楷体"/>
          <w:color w:val="auto"/>
          <w:sz w:val="20"/>
          <w:szCs w:val="20"/>
        </w:rPr>
      </w:pPr>
      <w:r>
        <w:rPr>
          <w:rFonts w:hint="eastAsia" w:ascii="华文楷体" w:hAnsi="华文楷体" w:eastAsia="华文楷体" w:cs="华文楷体"/>
          <w:bCs/>
          <w:color w:val="auto"/>
          <w:kern w:val="0"/>
          <w:sz w:val="20"/>
          <w:szCs w:val="20"/>
          <w:lang w:val="en-US" w:eastAsia="zh-CN"/>
        </w:rPr>
        <w:t>4</w:t>
      </w:r>
      <w:r>
        <w:rPr>
          <w:rFonts w:hint="eastAsia" w:ascii="华文楷体" w:hAnsi="华文楷体" w:eastAsia="华文楷体" w:cs="华文楷体"/>
          <w:bCs/>
          <w:color w:val="auto"/>
          <w:kern w:val="0"/>
          <w:sz w:val="20"/>
          <w:szCs w:val="20"/>
        </w:rPr>
        <w:t>.</w:t>
      </w: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对账：货物</w:t>
      </w:r>
      <w:r>
        <w:rPr>
          <w:rFonts w:hint="eastAsia" w:ascii="华文楷体" w:hAnsi="华文楷体" w:eastAsia="华文楷体" w:cs="华文楷体"/>
          <w:color w:val="auto"/>
          <w:sz w:val="20"/>
          <w:szCs w:val="20"/>
        </w:rPr>
        <w:t>数量确认由甲乙双方共同完成。确认完成后，甲乙双方授权业务联络人在</w:t>
      </w:r>
      <w:r>
        <w:rPr>
          <w:rFonts w:hint="eastAsia" w:ascii="华文楷体" w:hAnsi="华文楷体" w:eastAsia="华文楷体" w:cs="华文楷体"/>
          <w:bCs/>
          <w:color w:val="auto"/>
          <w:kern w:val="0"/>
          <w:sz w:val="20"/>
          <w:szCs w:val="20"/>
        </w:rPr>
        <w:t>《墙体材料供货对账单》（</w:t>
      </w:r>
      <w:r>
        <w:rPr>
          <w:rFonts w:hint="eastAsia" w:ascii="华文楷体" w:hAnsi="华文楷体" w:eastAsia="华文楷体" w:cs="华文楷体"/>
          <w:bCs/>
          <w:color w:val="auto"/>
          <w:kern w:val="0"/>
          <w:sz w:val="20"/>
          <w:szCs w:val="20"/>
          <w:lang w:eastAsia="zh-CN"/>
        </w:rPr>
        <w:t>格式见</w:t>
      </w:r>
      <w:r>
        <w:rPr>
          <w:rFonts w:hint="eastAsia" w:ascii="华文楷体" w:hAnsi="华文楷体" w:eastAsia="华文楷体" w:cs="华文楷体"/>
          <w:bCs/>
          <w:color w:val="auto"/>
          <w:kern w:val="0"/>
          <w:sz w:val="20"/>
          <w:szCs w:val="20"/>
        </w:rPr>
        <w:t>附件）</w:t>
      </w:r>
      <w:r>
        <w:rPr>
          <w:rFonts w:hint="eastAsia" w:ascii="华文楷体" w:hAnsi="华文楷体" w:eastAsia="华文楷体" w:cs="华文楷体"/>
          <w:color w:val="auto"/>
          <w:sz w:val="20"/>
          <w:szCs w:val="20"/>
        </w:rPr>
        <w:t>签字，一式两份，甲乙双方各执一份。</w:t>
      </w:r>
    </w:p>
    <w:bookmarkEnd w:id="2"/>
    <w:bookmarkEnd w:id="4"/>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bookmarkStart w:id="7" w:name="_Hlk106021657"/>
      <w:r>
        <w:rPr>
          <w:rFonts w:hint="eastAsia" w:ascii="华文楷体" w:hAnsi="华文楷体" w:eastAsia="华文楷体" w:cs="华文楷体"/>
          <w:b/>
          <w:bCs/>
          <w:color w:val="auto"/>
          <w:kern w:val="0"/>
          <w:sz w:val="20"/>
          <w:szCs w:val="20"/>
        </w:rPr>
        <w:t>付款方式、发票</w:t>
      </w:r>
    </w:p>
    <w:bookmarkEnd w:id="7"/>
    <w:p>
      <w:pPr>
        <w:pStyle w:val="16"/>
        <w:spacing w:line="264" w:lineRule="auto"/>
        <w:ind w:firstLine="400"/>
        <w:rPr>
          <w:rFonts w:hint="eastAsia" w:ascii="华文楷体" w:hAnsi="华文楷体" w:eastAsia="华文楷体" w:cs="华文楷体"/>
          <w:bCs/>
          <w:color w:val="auto"/>
          <w:kern w:val="0"/>
          <w:sz w:val="20"/>
          <w:szCs w:val="20"/>
        </w:rPr>
      </w:pPr>
      <w:bookmarkStart w:id="8" w:name="_Hlk106021670"/>
      <w:r>
        <w:rPr>
          <w:rFonts w:hint="eastAsia" w:ascii="华文楷体" w:hAnsi="华文楷体" w:eastAsia="华文楷体" w:cs="华文楷体"/>
          <w:bCs/>
          <w:color w:val="auto"/>
          <w:kern w:val="0"/>
          <w:sz w:val="20"/>
          <w:szCs w:val="20"/>
          <w:lang w:val="en-US" w:eastAsia="zh-CN"/>
        </w:rPr>
        <w:t>5</w:t>
      </w:r>
      <w:r>
        <w:rPr>
          <w:rFonts w:hint="eastAsia" w:ascii="华文楷体" w:hAnsi="华文楷体" w:eastAsia="华文楷体" w:cs="华文楷体"/>
          <w:bCs/>
          <w:color w:val="auto"/>
          <w:kern w:val="0"/>
          <w:sz w:val="20"/>
          <w:szCs w:val="20"/>
        </w:rPr>
        <w:t>.</w:t>
      </w:r>
      <w:r>
        <w:rPr>
          <w:rFonts w:hint="eastAsia" w:ascii="华文楷体" w:hAnsi="华文楷体" w:eastAsia="华文楷体" w:cs="华文楷体"/>
          <w:bCs/>
          <w:color w:val="auto"/>
          <w:kern w:val="0"/>
          <w:sz w:val="20"/>
          <w:szCs w:val="20"/>
          <w:lang w:val="en-US" w:eastAsia="zh-CN"/>
        </w:rPr>
        <w:t>1</w:t>
      </w:r>
      <w:r>
        <w:rPr>
          <w:rFonts w:hint="eastAsia" w:ascii="华文楷体" w:hAnsi="华文楷体" w:eastAsia="华文楷体" w:cs="华文楷体"/>
          <w:bCs/>
          <w:color w:val="auto"/>
          <w:kern w:val="0"/>
          <w:sz w:val="20"/>
          <w:szCs w:val="20"/>
        </w:rPr>
        <w:t>付款：</w:t>
      </w:r>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5</w:t>
      </w:r>
      <w:r>
        <w:rPr>
          <w:rFonts w:hint="eastAsia" w:ascii="华文楷体" w:hAnsi="华文楷体" w:eastAsia="华文楷体" w:cs="华文楷体"/>
          <w:bCs/>
          <w:color w:val="auto"/>
          <w:kern w:val="0"/>
          <w:sz w:val="20"/>
          <w:szCs w:val="20"/>
        </w:rPr>
        <w:t>.</w:t>
      </w:r>
      <w:r>
        <w:rPr>
          <w:rFonts w:hint="eastAsia" w:ascii="华文楷体" w:hAnsi="华文楷体" w:eastAsia="华文楷体" w:cs="华文楷体"/>
          <w:bCs/>
          <w:color w:val="auto"/>
          <w:kern w:val="0"/>
          <w:sz w:val="20"/>
          <w:szCs w:val="20"/>
          <w:lang w:val="en-US" w:eastAsia="zh-CN"/>
        </w:rPr>
        <w:t>1</w:t>
      </w:r>
      <w:r>
        <w:rPr>
          <w:rFonts w:hint="eastAsia" w:ascii="华文楷体" w:hAnsi="华文楷体" w:eastAsia="华文楷体" w:cs="华文楷体"/>
          <w:bCs/>
          <w:color w:val="auto"/>
          <w:kern w:val="0"/>
          <w:sz w:val="20"/>
          <w:szCs w:val="20"/>
        </w:rPr>
        <w:t>.1 本合同货款支付方式为：□电汇转账  □支票  □银行承兑汇票  □电子信用支付工具 □其他：</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w:t>
      </w:r>
      <w:bookmarkEnd w:id="8"/>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5</w:t>
      </w:r>
      <w:r>
        <w:rPr>
          <w:rFonts w:hint="eastAsia" w:ascii="华文楷体" w:hAnsi="华文楷体" w:eastAsia="华文楷体" w:cs="华文楷体"/>
          <w:bCs/>
          <w:color w:val="auto"/>
          <w:kern w:val="0"/>
          <w:sz w:val="20"/>
          <w:szCs w:val="20"/>
        </w:rPr>
        <w:t>.</w:t>
      </w:r>
      <w:r>
        <w:rPr>
          <w:rFonts w:hint="eastAsia" w:ascii="华文楷体" w:hAnsi="华文楷体" w:eastAsia="华文楷体" w:cs="华文楷体"/>
          <w:bCs/>
          <w:color w:val="auto"/>
          <w:kern w:val="0"/>
          <w:sz w:val="20"/>
          <w:szCs w:val="20"/>
          <w:lang w:val="en-US" w:eastAsia="zh-CN"/>
        </w:rPr>
        <w:t>1</w:t>
      </w:r>
      <w:r>
        <w:rPr>
          <w:rFonts w:hint="eastAsia" w:ascii="华文楷体" w:hAnsi="华文楷体" w:eastAsia="华文楷体" w:cs="华文楷体"/>
          <w:bCs/>
          <w:color w:val="auto"/>
          <w:kern w:val="0"/>
          <w:sz w:val="20"/>
          <w:szCs w:val="20"/>
        </w:rPr>
        <w:t>.2双方约定按以下第</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种方式付款：</w:t>
      </w:r>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（1）一次性付款：</w:t>
      </w:r>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合同签订后</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日内，甲方一次性支付全部货款。</w:t>
      </w:r>
      <w:r>
        <w:rPr>
          <w:rFonts w:hint="eastAsia" w:ascii="华文楷体" w:hAnsi="华文楷体" w:eastAsia="华文楷体" w:cs="华文楷体"/>
          <w:bCs/>
          <w:color w:val="auto"/>
          <w:kern w:val="0"/>
          <w:sz w:val="20"/>
          <w:szCs w:val="20"/>
          <w:lang w:val="en-US" w:eastAsia="zh-CN"/>
        </w:rPr>
        <w:t>如有变更的</w:t>
      </w:r>
      <w:r>
        <w:rPr>
          <w:rFonts w:hint="eastAsia" w:ascii="华文楷体" w:hAnsi="华文楷体" w:eastAsia="华文楷体" w:cs="华文楷体"/>
          <w:bCs/>
          <w:color w:val="auto"/>
          <w:kern w:val="0"/>
          <w:sz w:val="20"/>
          <w:szCs w:val="20"/>
          <w:lang w:eastAsia="zh-CN"/>
        </w:rPr>
        <w:t>，</w:t>
      </w:r>
      <w:r>
        <w:rPr>
          <w:rFonts w:hint="eastAsia" w:ascii="华文楷体" w:hAnsi="华文楷体" w:eastAsia="华文楷体" w:cs="华文楷体"/>
          <w:bCs/>
          <w:color w:val="auto"/>
          <w:kern w:val="0"/>
          <w:sz w:val="20"/>
          <w:szCs w:val="20"/>
        </w:rPr>
        <w:t>供货完成双方确认变更金额后，货款多退少补。</w:t>
      </w:r>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（2）分期付款：货款分为</w:t>
      </w:r>
      <w:r>
        <w:rPr>
          <w:rFonts w:hint="eastAsia" w:ascii="华文楷体" w:hAnsi="华文楷体" w:eastAsia="华文楷体" w:cs="华文楷体"/>
          <w:bCs/>
          <w:color w:val="auto"/>
          <w:kern w:val="0"/>
          <w:sz w:val="20"/>
          <w:szCs w:val="20"/>
          <w:lang w:eastAsia="zh-CN"/>
        </w:rPr>
        <w:t>首</w:t>
      </w:r>
      <w:r>
        <w:rPr>
          <w:rFonts w:hint="eastAsia" w:ascii="华文楷体" w:hAnsi="华文楷体" w:eastAsia="华文楷体" w:cs="华文楷体"/>
          <w:bCs/>
          <w:color w:val="auto"/>
          <w:kern w:val="0"/>
          <w:sz w:val="20"/>
          <w:szCs w:val="20"/>
        </w:rPr>
        <w:t>付款、进度款、尾款三部分支付。</w:t>
      </w:r>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eastAsia="zh-CN"/>
        </w:rPr>
        <w:t>首</w:t>
      </w:r>
      <w:r>
        <w:rPr>
          <w:rFonts w:hint="eastAsia" w:ascii="华文楷体" w:hAnsi="华文楷体" w:eastAsia="华文楷体" w:cs="华文楷体"/>
          <w:bCs/>
          <w:color w:val="auto"/>
          <w:kern w:val="0"/>
          <w:sz w:val="20"/>
          <w:szCs w:val="20"/>
        </w:rPr>
        <w:t>付款：自本合同签订之日起</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日内，甲方支付</w:t>
      </w:r>
      <w:r>
        <w:rPr>
          <w:rFonts w:hint="eastAsia" w:ascii="华文楷体" w:hAnsi="华文楷体" w:eastAsia="华文楷体" w:cs="华文楷体"/>
          <w:bCs/>
          <w:color w:val="auto"/>
          <w:kern w:val="0"/>
          <w:sz w:val="20"/>
          <w:szCs w:val="20"/>
          <w:lang w:val="en-US" w:eastAsia="zh-CN"/>
        </w:rPr>
        <w:t>2.1条</w:t>
      </w:r>
      <w:r>
        <w:rPr>
          <w:rFonts w:hint="eastAsia" w:ascii="华文楷体" w:hAnsi="华文楷体" w:eastAsia="华文楷体" w:cs="华文楷体"/>
          <w:bCs/>
          <w:color w:val="auto"/>
          <w:kern w:val="0"/>
          <w:sz w:val="20"/>
          <w:szCs w:val="20"/>
        </w:rPr>
        <w:t>含税总价款的</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%作为预付款。</w:t>
      </w:r>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进度款：双方确认墙体材料</w:t>
      </w:r>
      <w:r>
        <w:rPr>
          <w:rFonts w:hint="eastAsia" w:ascii="华文楷体" w:hAnsi="华文楷体" w:eastAsia="华文楷体" w:cs="华文楷体"/>
          <w:bCs/>
          <w:color w:val="auto"/>
          <w:kern w:val="0"/>
          <w:sz w:val="20"/>
          <w:szCs w:val="20"/>
          <w:lang w:eastAsia="zh-CN"/>
        </w:rPr>
        <w:t>交货</w:t>
      </w:r>
      <w:r>
        <w:rPr>
          <w:rFonts w:hint="eastAsia" w:ascii="华文楷体" w:hAnsi="华文楷体" w:eastAsia="华文楷体" w:cs="华文楷体"/>
          <w:bCs/>
          <w:color w:val="auto"/>
          <w:kern w:val="0"/>
          <w:sz w:val="20"/>
          <w:szCs w:val="20"/>
        </w:rPr>
        <w:t>完成</w:t>
      </w:r>
      <w:r>
        <w:rPr>
          <w:rFonts w:hint="eastAsia" w:ascii="华文楷体" w:hAnsi="华文楷体" w:eastAsia="华文楷体" w:cs="华文楷体"/>
          <w:bCs/>
          <w:color w:val="auto"/>
          <w:kern w:val="0"/>
          <w:sz w:val="20"/>
          <w:szCs w:val="20"/>
          <w:u w:val="single"/>
          <w:lang w:val="en-US" w:eastAsia="zh-CN"/>
        </w:rPr>
        <w:t xml:space="preserve">   </w:t>
      </w:r>
      <w:r>
        <w:rPr>
          <w:rFonts w:hint="eastAsia" w:ascii="华文楷体" w:hAnsi="华文楷体" w:eastAsia="华文楷体" w:cs="华文楷体"/>
          <w:bCs/>
          <w:color w:val="auto"/>
          <w:kern w:val="0"/>
          <w:sz w:val="20"/>
          <w:szCs w:val="20"/>
          <w:u w:val="none"/>
          <w:lang w:val="en-US" w:eastAsia="zh-CN"/>
        </w:rPr>
        <w:t>％</w:t>
      </w:r>
      <w:r>
        <w:rPr>
          <w:rFonts w:hint="eastAsia" w:ascii="华文楷体" w:hAnsi="华文楷体" w:eastAsia="华文楷体" w:cs="华文楷体"/>
          <w:bCs/>
          <w:color w:val="auto"/>
          <w:kern w:val="0"/>
          <w:sz w:val="20"/>
          <w:szCs w:val="20"/>
        </w:rPr>
        <w:t>后</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日内，甲方支付</w:t>
      </w:r>
      <w:r>
        <w:rPr>
          <w:rFonts w:hint="eastAsia" w:ascii="华文楷体" w:hAnsi="华文楷体" w:eastAsia="华文楷体" w:cs="华文楷体"/>
          <w:bCs/>
          <w:color w:val="auto"/>
          <w:kern w:val="0"/>
          <w:sz w:val="20"/>
          <w:szCs w:val="20"/>
          <w:lang w:val="en-US" w:eastAsia="zh-CN"/>
        </w:rPr>
        <w:t>2.1条</w:t>
      </w:r>
      <w:r>
        <w:rPr>
          <w:rFonts w:hint="eastAsia" w:ascii="华文楷体" w:hAnsi="华文楷体" w:eastAsia="华文楷体" w:cs="华文楷体"/>
          <w:bCs/>
          <w:color w:val="auto"/>
          <w:kern w:val="0"/>
          <w:sz w:val="20"/>
          <w:szCs w:val="20"/>
        </w:rPr>
        <w:t>含税总价款</w:t>
      </w:r>
      <w:r>
        <w:rPr>
          <w:rFonts w:hint="eastAsia" w:ascii="华文楷体" w:hAnsi="华文楷体" w:eastAsia="华文楷体" w:cs="华文仿宋"/>
          <w:color w:val="auto"/>
          <w:kern w:val="0"/>
          <w:sz w:val="20"/>
          <w:szCs w:val="20"/>
        </w:rPr>
        <w:t>的</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w:t>
      </w:r>
      <w:r>
        <w:rPr>
          <w:rFonts w:hint="eastAsia" w:ascii="华文楷体" w:hAnsi="华文楷体" w:eastAsia="华文楷体" w:cs="华文仿宋"/>
          <w:color w:val="auto"/>
          <w:kern w:val="0"/>
          <w:sz w:val="20"/>
          <w:szCs w:val="20"/>
        </w:rPr>
        <w:t>作为进度款，</w:t>
      </w:r>
      <w:r>
        <w:rPr>
          <w:rFonts w:hint="eastAsia" w:ascii="华文楷体" w:hAnsi="华文楷体" w:eastAsia="华文楷体" w:cs="华文楷体"/>
          <w:bCs/>
          <w:color w:val="auto"/>
          <w:kern w:val="0"/>
          <w:sz w:val="20"/>
          <w:szCs w:val="20"/>
        </w:rPr>
        <w:t>不抵扣已付</w:t>
      </w:r>
      <w:r>
        <w:rPr>
          <w:rFonts w:hint="eastAsia" w:ascii="华文楷体" w:hAnsi="华文楷体" w:eastAsia="华文楷体" w:cs="华文楷体"/>
          <w:bCs/>
          <w:color w:val="auto"/>
          <w:kern w:val="0"/>
          <w:sz w:val="20"/>
          <w:szCs w:val="20"/>
          <w:lang w:eastAsia="zh-CN"/>
        </w:rPr>
        <w:t>首</w:t>
      </w:r>
      <w:r>
        <w:rPr>
          <w:rFonts w:hint="eastAsia" w:ascii="华文楷体" w:hAnsi="华文楷体" w:eastAsia="华文楷体" w:cs="华文楷体"/>
          <w:bCs/>
          <w:color w:val="auto"/>
          <w:kern w:val="0"/>
          <w:sz w:val="20"/>
          <w:szCs w:val="20"/>
        </w:rPr>
        <w:t>付款。</w:t>
      </w:r>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尾款：双方确认全部墙体材料交付完成</w:t>
      </w:r>
      <w:r>
        <w:rPr>
          <w:rFonts w:hint="eastAsia" w:ascii="华文楷体" w:hAnsi="华文楷体" w:eastAsia="华文楷体" w:cs="华文楷体"/>
          <w:bCs/>
          <w:color w:val="auto"/>
          <w:kern w:val="0"/>
          <w:sz w:val="20"/>
          <w:szCs w:val="20"/>
          <w:lang w:eastAsia="zh-CN"/>
        </w:rPr>
        <w:t>并验收合格</w:t>
      </w:r>
      <w:r>
        <w:rPr>
          <w:rFonts w:hint="eastAsia" w:ascii="华文楷体" w:hAnsi="华文楷体" w:eastAsia="华文楷体" w:cs="华文楷体"/>
          <w:bCs/>
          <w:color w:val="auto"/>
          <w:kern w:val="0"/>
          <w:sz w:val="20"/>
          <w:szCs w:val="20"/>
        </w:rPr>
        <w:t>后</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日内，甲方支付</w:t>
      </w:r>
      <w:r>
        <w:rPr>
          <w:rFonts w:hint="eastAsia" w:ascii="华文楷体" w:hAnsi="华文楷体" w:eastAsia="华文楷体" w:cs="华文楷体"/>
          <w:bCs/>
          <w:color w:val="auto"/>
          <w:kern w:val="0"/>
          <w:sz w:val="20"/>
          <w:szCs w:val="20"/>
          <w:lang w:val="en-US" w:eastAsia="zh-CN"/>
        </w:rPr>
        <w:t>2.1条</w:t>
      </w:r>
      <w:r>
        <w:rPr>
          <w:rFonts w:hint="eastAsia" w:ascii="华文楷体" w:hAnsi="华文楷体" w:eastAsia="华文楷体" w:cs="华文楷体"/>
          <w:bCs/>
          <w:color w:val="auto"/>
          <w:kern w:val="0"/>
          <w:sz w:val="20"/>
          <w:szCs w:val="20"/>
        </w:rPr>
        <w:t>含税总价款</w:t>
      </w:r>
      <w:r>
        <w:rPr>
          <w:rFonts w:hint="eastAsia" w:ascii="华文楷体" w:hAnsi="华文楷体" w:eastAsia="华文楷体" w:cs="华文仿宋"/>
          <w:color w:val="auto"/>
          <w:kern w:val="0"/>
          <w:sz w:val="20"/>
          <w:szCs w:val="20"/>
        </w:rPr>
        <w:t>的</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w:t>
      </w:r>
      <w:r>
        <w:rPr>
          <w:rFonts w:hint="eastAsia" w:ascii="华文楷体" w:hAnsi="华文楷体" w:eastAsia="华文楷体" w:cs="华文仿宋"/>
          <w:color w:val="auto"/>
          <w:kern w:val="0"/>
          <w:sz w:val="20"/>
          <w:szCs w:val="20"/>
        </w:rPr>
        <w:t>作为</w:t>
      </w:r>
      <w:r>
        <w:rPr>
          <w:rFonts w:hint="eastAsia" w:ascii="华文楷体" w:hAnsi="华文楷体" w:eastAsia="华文楷体" w:cs="华文楷体"/>
          <w:bCs/>
          <w:color w:val="auto"/>
          <w:kern w:val="0"/>
          <w:sz w:val="20"/>
          <w:szCs w:val="20"/>
        </w:rPr>
        <w:t>尾款。</w:t>
      </w:r>
      <w:r>
        <w:rPr>
          <w:rFonts w:hint="eastAsia" w:ascii="华文楷体" w:hAnsi="华文楷体" w:eastAsia="华文楷体" w:cs="华文楷体"/>
          <w:bCs/>
          <w:color w:val="auto"/>
          <w:kern w:val="0"/>
          <w:sz w:val="20"/>
          <w:szCs w:val="20"/>
          <w:lang w:eastAsia="zh-CN"/>
        </w:rPr>
        <w:t>若</w:t>
      </w:r>
      <w:r>
        <w:rPr>
          <w:rFonts w:hint="eastAsia" w:ascii="华文楷体" w:hAnsi="华文楷体" w:eastAsia="华文楷体" w:cs="华文楷体"/>
          <w:bCs/>
          <w:color w:val="auto"/>
          <w:kern w:val="0"/>
          <w:sz w:val="20"/>
          <w:szCs w:val="20"/>
        </w:rPr>
        <w:t>仍有未确认的变更，双方确认变更金额后，货款多退少补。</w:t>
      </w:r>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（3）其他方式：</w:t>
      </w:r>
      <w:r>
        <w:rPr>
          <w:rFonts w:hint="eastAsia" w:ascii="华文楷体" w:hAnsi="华文楷体" w:eastAsia="华文楷体" w:cs="华文楷体"/>
          <w:bCs/>
          <w:color w:val="auto"/>
          <w:kern w:val="0"/>
          <w:sz w:val="20"/>
          <w:szCs w:val="20"/>
          <w:u w:val="single"/>
        </w:rPr>
        <w:t xml:space="preserve">                          </w:t>
      </w:r>
    </w:p>
    <w:p>
      <w:pPr>
        <w:pStyle w:val="16"/>
        <w:spacing w:line="264" w:lineRule="auto"/>
        <w:ind w:left="0" w:leftChars="0" w:firstLine="400" w:firstLineChars="0"/>
        <w:rPr>
          <w:rFonts w:hint="default" w:ascii="华文楷体" w:hAnsi="华文楷体" w:eastAsia="华文楷体" w:cs="华文楷体"/>
          <w:bCs/>
          <w:color w:val="auto"/>
          <w:kern w:val="0"/>
          <w:sz w:val="20"/>
          <w:szCs w:val="20"/>
        </w:rPr>
      </w:pPr>
      <w:r>
        <w:rPr>
          <w:rFonts w:hint="default" w:ascii="华文楷体" w:hAnsi="华文楷体" w:eastAsia="华文楷体" w:cs="华文楷体"/>
          <w:bCs/>
          <w:color w:val="auto"/>
          <w:kern w:val="0"/>
          <w:sz w:val="20"/>
          <w:szCs w:val="20"/>
          <w:lang w:val="en-US" w:eastAsia="zh-CN"/>
        </w:rPr>
        <w:t>5</w:t>
      </w:r>
      <w:r>
        <w:rPr>
          <w:rFonts w:hint="default" w:ascii="华文楷体" w:hAnsi="华文楷体" w:eastAsia="华文楷体" w:cs="华文楷体"/>
          <w:bCs/>
          <w:color w:val="auto"/>
          <w:kern w:val="0"/>
          <w:sz w:val="20"/>
          <w:szCs w:val="20"/>
        </w:rPr>
        <w:t>.</w:t>
      </w:r>
      <w:r>
        <w:rPr>
          <w:rFonts w:hint="eastAsia" w:ascii="华文楷体" w:hAnsi="华文楷体" w:eastAsia="华文楷体" w:cs="华文楷体"/>
          <w:bCs/>
          <w:color w:val="auto"/>
          <w:kern w:val="0"/>
          <w:sz w:val="20"/>
          <w:szCs w:val="20"/>
          <w:lang w:eastAsia="zh-CN"/>
        </w:rPr>
        <w:t>2</w:t>
      </w:r>
      <w:r>
        <w:rPr>
          <w:rFonts w:hint="default" w:ascii="华文楷体" w:hAnsi="华文楷体" w:eastAsia="华文楷体" w:cs="华文楷体"/>
          <w:bCs/>
          <w:color w:val="auto"/>
          <w:kern w:val="0"/>
          <w:sz w:val="20"/>
          <w:szCs w:val="20"/>
        </w:rPr>
        <w:t>以上付款条件，为甲、乙双方共同遵守，不涉及第三方支付责任。</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5</w:t>
      </w:r>
      <w:r>
        <w:rPr>
          <w:rFonts w:hint="eastAsia" w:ascii="华文楷体" w:hAnsi="华文楷体" w:eastAsia="华文楷体" w:cs="华文楷体"/>
          <w:bCs/>
          <w:color w:val="auto"/>
          <w:kern w:val="0"/>
          <w:sz w:val="20"/>
          <w:szCs w:val="20"/>
        </w:rPr>
        <w:t>.</w:t>
      </w:r>
      <w:r>
        <w:rPr>
          <w:rFonts w:hint="eastAsia" w:ascii="华文楷体" w:hAnsi="华文楷体" w:eastAsia="华文楷体" w:cs="华文楷体"/>
          <w:bCs/>
          <w:color w:val="auto"/>
          <w:kern w:val="0"/>
          <w:sz w:val="20"/>
          <w:szCs w:val="20"/>
          <w:lang w:val="en-US" w:eastAsia="zh-CN"/>
        </w:rPr>
        <w:t>3</w:t>
      </w:r>
      <w:r>
        <w:rPr>
          <w:rFonts w:hint="eastAsia" w:ascii="华文楷体" w:hAnsi="华文楷体" w:eastAsia="华文楷体" w:cs="华文楷体"/>
          <w:bCs/>
          <w:color w:val="auto"/>
          <w:kern w:val="0"/>
          <w:sz w:val="20"/>
          <w:szCs w:val="20"/>
        </w:rPr>
        <w:t>发票</w:t>
      </w:r>
    </w:p>
    <w:p>
      <w:pPr>
        <w:pStyle w:val="16"/>
        <w:spacing w:line="264" w:lineRule="auto"/>
        <w:ind w:firstLine="400" w:firstLineChars="200"/>
        <w:rPr>
          <w:rFonts w:hint="default" w:ascii="华文楷体" w:hAnsi="华文楷体" w:eastAsia="华文楷体" w:cs="华文楷体"/>
          <w:bCs/>
          <w:color w:val="auto"/>
          <w:kern w:val="0"/>
          <w:sz w:val="20"/>
          <w:szCs w:val="20"/>
        </w:rPr>
      </w:pPr>
      <w:r>
        <w:rPr>
          <w:rFonts w:hint="default" w:ascii="华文楷体" w:hAnsi="华文楷体" w:eastAsia="华文楷体" w:cs="华文楷体"/>
          <w:bCs/>
          <w:color w:val="auto"/>
          <w:kern w:val="0"/>
          <w:sz w:val="20"/>
          <w:szCs w:val="20"/>
          <w:lang w:val="en-US" w:eastAsia="zh-CN"/>
        </w:rPr>
        <w:t>5</w:t>
      </w:r>
      <w:r>
        <w:rPr>
          <w:rFonts w:hint="default" w:ascii="华文楷体" w:hAnsi="华文楷体" w:eastAsia="华文楷体" w:cs="华文楷体"/>
          <w:bCs/>
          <w:color w:val="auto"/>
          <w:kern w:val="0"/>
          <w:sz w:val="20"/>
          <w:szCs w:val="20"/>
        </w:rPr>
        <w:t>.</w:t>
      </w:r>
      <w:r>
        <w:rPr>
          <w:rFonts w:hint="eastAsia" w:ascii="华文楷体" w:hAnsi="华文楷体" w:eastAsia="华文楷体" w:cs="华文楷体"/>
          <w:bCs/>
          <w:color w:val="auto"/>
          <w:kern w:val="0"/>
          <w:sz w:val="20"/>
          <w:szCs w:val="20"/>
          <w:lang w:eastAsia="zh-CN"/>
        </w:rPr>
        <w:t>3</w:t>
      </w:r>
      <w:r>
        <w:rPr>
          <w:rFonts w:hint="default" w:ascii="华文楷体" w:hAnsi="华文楷体" w:eastAsia="华文楷体" w:cs="华文楷体"/>
          <w:bCs/>
          <w:color w:val="auto"/>
          <w:kern w:val="0"/>
          <w:sz w:val="20"/>
          <w:szCs w:val="20"/>
        </w:rPr>
        <w:t>.1 乙方向甲方提供发票票种为：□增值税专用发票 □增值税普通发票 □国税通用普通机打发票；乙方提供的发票税率为</w:t>
      </w:r>
      <w:r>
        <w:rPr>
          <w:rFonts w:hint="default" w:ascii="华文楷体" w:hAnsi="华文楷体" w:eastAsia="华文楷体" w:cs="华文楷体"/>
          <w:bCs/>
          <w:color w:val="auto"/>
          <w:kern w:val="0"/>
          <w:sz w:val="20"/>
          <w:szCs w:val="20"/>
          <w:u w:val="single"/>
        </w:rPr>
        <w:t xml:space="preserve">    </w:t>
      </w:r>
      <w:r>
        <w:rPr>
          <w:rFonts w:hint="default" w:ascii="华文楷体" w:hAnsi="华文楷体" w:eastAsia="华文楷体" w:cs="华文楷体"/>
          <w:bCs/>
          <w:color w:val="auto"/>
          <w:kern w:val="0"/>
          <w:sz w:val="20"/>
          <w:szCs w:val="20"/>
        </w:rPr>
        <w:t>%。</w:t>
      </w:r>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5</w:t>
      </w:r>
      <w:r>
        <w:rPr>
          <w:rFonts w:hint="eastAsia" w:ascii="华文楷体" w:hAnsi="华文楷体" w:eastAsia="华文楷体" w:cs="华文楷体"/>
          <w:bCs/>
          <w:color w:val="auto"/>
          <w:kern w:val="0"/>
          <w:sz w:val="20"/>
          <w:szCs w:val="20"/>
        </w:rPr>
        <w:t>.</w:t>
      </w:r>
      <w:r>
        <w:rPr>
          <w:rFonts w:hint="eastAsia" w:ascii="华文楷体" w:hAnsi="华文楷体" w:eastAsia="华文楷体" w:cs="华文楷体"/>
          <w:bCs/>
          <w:color w:val="auto"/>
          <w:kern w:val="0"/>
          <w:sz w:val="20"/>
          <w:szCs w:val="20"/>
          <w:lang w:val="en-US" w:eastAsia="zh-CN"/>
        </w:rPr>
        <w:t>3</w:t>
      </w:r>
      <w:r>
        <w:rPr>
          <w:rFonts w:hint="eastAsia" w:ascii="华文楷体" w:hAnsi="华文楷体" w:eastAsia="华文楷体" w:cs="华文楷体"/>
          <w:bCs/>
          <w:color w:val="auto"/>
          <w:kern w:val="0"/>
          <w:sz w:val="20"/>
          <w:szCs w:val="20"/>
        </w:rPr>
        <w:t>.2乙方应当按照本合同的约定为甲方开具满足税务机关要求的发票。乙方开具发票的时间应满足国家税法要求，如遇国家税收法律政策变化影响税率及开具发票行为的，按国家有关法律法规规定执行。</w:t>
      </w:r>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5</w:t>
      </w:r>
      <w:r>
        <w:rPr>
          <w:rFonts w:hint="eastAsia" w:ascii="华文楷体" w:hAnsi="华文楷体" w:eastAsia="华文楷体" w:cs="华文楷体"/>
          <w:bCs/>
          <w:color w:val="auto"/>
          <w:kern w:val="0"/>
          <w:sz w:val="20"/>
          <w:szCs w:val="20"/>
        </w:rPr>
        <w:t>.</w:t>
      </w:r>
      <w:r>
        <w:rPr>
          <w:rFonts w:hint="eastAsia" w:ascii="华文楷体" w:hAnsi="华文楷体" w:eastAsia="华文楷体" w:cs="华文楷体"/>
          <w:bCs/>
          <w:color w:val="auto"/>
          <w:kern w:val="0"/>
          <w:sz w:val="20"/>
          <w:szCs w:val="20"/>
          <w:lang w:val="en-US" w:eastAsia="zh-CN"/>
        </w:rPr>
        <w:t>3</w:t>
      </w:r>
      <w:r>
        <w:rPr>
          <w:rFonts w:hint="eastAsia" w:ascii="华文楷体" w:hAnsi="华文楷体" w:eastAsia="华文楷体" w:cs="华文楷体"/>
          <w:bCs/>
          <w:color w:val="auto"/>
          <w:kern w:val="0"/>
          <w:sz w:val="20"/>
          <w:szCs w:val="20"/>
        </w:rPr>
        <w:t>.3甲方每次付款后，乙方保证提供合法、真实、有效的发票，并保证开具给甲方的发票没有作废或没有被红字冲销，如因发票不合法导致的补</w:t>
      </w:r>
      <w:r>
        <w:rPr>
          <w:rFonts w:hint="eastAsia" w:ascii="华文楷体" w:hAnsi="华文楷体" w:eastAsia="华文楷体" w:cs="华文楷体"/>
          <w:bCs/>
          <w:color w:val="auto"/>
          <w:kern w:val="0"/>
          <w:sz w:val="20"/>
          <w:szCs w:val="20"/>
          <w:lang w:eastAsia="zh-CN"/>
        </w:rPr>
        <w:t>缴</w:t>
      </w:r>
      <w:r>
        <w:rPr>
          <w:rFonts w:hint="eastAsia" w:ascii="华文楷体" w:hAnsi="华文楷体" w:eastAsia="华文楷体" w:cs="华文楷体"/>
          <w:bCs/>
          <w:color w:val="auto"/>
          <w:kern w:val="0"/>
          <w:sz w:val="20"/>
          <w:szCs w:val="20"/>
        </w:rPr>
        <w:t>税款、滞纳金、罚款及其相关的损失，由乙方承担全额赔偿责任。双方具有配合税务机关协助调查义务。</w:t>
      </w:r>
    </w:p>
    <w:p>
      <w:pPr>
        <w:spacing w:line="264" w:lineRule="auto"/>
        <w:ind w:firstLine="400" w:firstLineChars="2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5</w:t>
      </w:r>
      <w:r>
        <w:rPr>
          <w:rFonts w:hint="eastAsia" w:ascii="华文楷体" w:hAnsi="华文楷体" w:eastAsia="华文楷体" w:cs="华文楷体"/>
          <w:bCs/>
          <w:color w:val="auto"/>
          <w:kern w:val="0"/>
          <w:sz w:val="20"/>
          <w:szCs w:val="20"/>
        </w:rPr>
        <w:t>.</w:t>
      </w:r>
      <w:r>
        <w:rPr>
          <w:rFonts w:hint="eastAsia" w:ascii="华文楷体" w:hAnsi="华文楷体" w:eastAsia="华文楷体" w:cs="华文楷体"/>
          <w:bCs/>
          <w:color w:val="auto"/>
          <w:kern w:val="0"/>
          <w:sz w:val="20"/>
          <w:szCs w:val="20"/>
          <w:lang w:val="en-US" w:eastAsia="zh-CN"/>
        </w:rPr>
        <w:t>3</w:t>
      </w:r>
      <w:r>
        <w:rPr>
          <w:rFonts w:hint="eastAsia" w:ascii="华文楷体" w:hAnsi="华文楷体" w:eastAsia="华文楷体" w:cs="华文楷体"/>
          <w:bCs/>
          <w:color w:val="auto"/>
          <w:kern w:val="0"/>
          <w:sz w:val="20"/>
          <w:szCs w:val="20"/>
        </w:rPr>
        <w:t>.4本合同各方确认收款和开票信息如下，因提供本方信息错误，给对方造成的损失，由责任方承担。</w:t>
      </w:r>
    </w:p>
    <w:tbl>
      <w:tblPr>
        <w:tblStyle w:val="10"/>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253"/>
        <w:gridCol w:w="3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restart"/>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甲方开票信息</w:t>
            </w:r>
          </w:p>
        </w:tc>
        <w:tc>
          <w:tcPr>
            <w:tcW w:w="2253" w:type="dxa"/>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单位名称</w:t>
            </w:r>
          </w:p>
        </w:tc>
        <w:tc>
          <w:tcPr>
            <w:tcW w:w="3848" w:type="dxa"/>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vAlign w:val="center"/>
          </w:tcPr>
          <w:p>
            <w:pPr>
              <w:spacing w:line="264" w:lineRule="auto"/>
              <w:ind w:firstLine="400" w:firstLineChars="200"/>
              <w:jc w:val="center"/>
              <w:rPr>
                <w:rFonts w:hint="eastAsia" w:ascii="华文楷体" w:hAnsi="华文楷体" w:eastAsia="华文楷体" w:cs="华文楷体"/>
                <w:bCs/>
                <w:color w:val="auto"/>
                <w:kern w:val="0"/>
                <w:sz w:val="20"/>
                <w:szCs w:val="20"/>
              </w:rPr>
            </w:pPr>
          </w:p>
        </w:tc>
        <w:tc>
          <w:tcPr>
            <w:tcW w:w="2253" w:type="dxa"/>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纳税人识别号</w:t>
            </w:r>
          </w:p>
        </w:tc>
        <w:tc>
          <w:tcPr>
            <w:tcW w:w="3848" w:type="dxa"/>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vAlign w:val="center"/>
          </w:tcPr>
          <w:p>
            <w:pPr>
              <w:spacing w:line="264" w:lineRule="auto"/>
              <w:ind w:firstLine="400" w:firstLineChars="200"/>
              <w:jc w:val="center"/>
              <w:rPr>
                <w:rFonts w:hint="eastAsia" w:ascii="华文楷体" w:hAnsi="华文楷体" w:eastAsia="华文楷体" w:cs="华文楷体"/>
                <w:bCs/>
                <w:color w:val="auto"/>
                <w:kern w:val="0"/>
                <w:sz w:val="20"/>
                <w:szCs w:val="20"/>
              </w:rPr>
            </w:pPr>
          </w:p>
        </w:tc>
        <w:tc>
          <w:tcPr>
            <w:tcW w:w="2253" w:type="dxa"/>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地址、电话</w:t>
            </w:r>
          </w:p>
        </w:tc>
        <w:tc>
          <w:tcPr>
            <w:tcW w:w="3848" w:type="dxa"/>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85" w:type="dxa"/>
            <w:vMerge w:val="continue"/>
            <w:vAlign w:val="center"/>
          </w:tcPr>
          <w:p>
            <w:pPr>
              <w:spacing w:line="264" w:lineRule="auto"/>
              <w:ind w:firstLine="400" w:firstLineChars="200"/>
              <w:jc w:val="center"/>
              <w:rPr>
                <w:rFonts w:hint="eastAsia" w:ascii="华文楷体" w:hAnsi="华文楷体" w:eastAsia="华文楷体" w:cs="华文楷体"/>
                <w:bCs/>
                <w:color w:val="auto"/>
                <w:kern w:val="0"/>
                <w:sz w:val="20"/>
                <w:szCs w:val="20"/>
              </w:rPr>
            </w:pPr>
          </w:p>
        </w:tc>
        <w:tc>
          <w:tcPr>
            <w:tcW w:w="2253" w:type="dxa"/>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开户行</w:t>
            </w:r>
          </w:p>
        </w:tc>
        <w:tc>
          <w:tcPr>
            <w:tcW w:w="3848" w:type="dxa"/>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vAlign w:val="center"/>
          </w:tcPr>
          <w:p>
            <w:pPr>
              <w:spacing w:line="264" w:lineRule="auto"/>
              <w:ind w:firstLine="400" w:firstLineChars="200"/>
              <w:jc w:val="center"/>
              <w:rPr>
                <w:rFonts w:hint="eastAsia" w:ascii="华文楷体" w:hAnsi="华文楷体" w:eastAsia="华文楷体" w:cs="华文楷体"/>
                <w:bCs/>
                <w:color w:val="auto"/>
                <w:kern w:val="0"/>
                <w:sz w:val="20"/>
                <w:szCs w:val="20"/>
              </w:rPr>
            </w:pPr>
          </w:p>
        </w:tc>
        <w:tc>
          <w:tcPr>
            <w:tcW w:w="2253" w:type="dxa"/>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账号</w:t>
            </w:r>
          </w:p>
        </w:tc>
        <w:tc>
          <w:tcPr>
            <w:tcW w:w="3848" w:type="dxa"/>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restart"/>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乙方收款信息</w:t>
            </w:r>
          </w:p>
        </w:tc>
        <w:tc>
          <w:tcPr>
            <w:tcW w:w="2253" w:type="dxa"/>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单位名称</w:t>
            </w:r>
          </w:p>
        </w:tc>
        <w:tc>
          <w:tcPr>
            <w:tcW w:w="3848" w:type="dxa"/>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c>
          <w:tcPr>
            <w:tcW w:w="2253" w:type="dxa"/>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纳税人识别号</w:t>
            </w:r>
          </w:p>
        </w:tc>
        <w:tc>
          <w:tcPr>
            <w:tcW w:w="3848" w:type="dxa"/>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1985" w:type="dxa"/>
            <w:vMerge w:val="continue"/>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c>
          <w:tcPr>
            <w:tcW w:w="2253" w:type="dxa"/>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地址、电话</w:t>
            </w:r>
          </w:p>
        </w:tc>
        <w:tc>
          <w:tcPr>
            <w:tcW w:w="3848" w:type="dxa"/>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c>
          <w:tcPr>
            <w:tcW w:w="2253" w:type="dxa"/>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开户行</w:t>
            </w:r>
          </w:p>
        </w:tc>
        <w:tc>
          <w:tcPr>
            <w:tcW w:w="3848" w:type="dxa"/>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c>
          <w:tcPr>
            <w:tcW w:w="2253" w:type="dxa"/>
            <w:vAlign w:val="center"/>
          </w:tcPr>
          <w:p>
            <w:pPr>
              <w:spacing w:line="264" w:lineRule="auto"/>
              <w:jc w:val="cente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账号</w:t>
            </w:r>
          </w:p>
        </w:tc>
        <w:tc>
          <w:tcPr>
            <w:tcW w:w="3848" w:type="dxa"/>
            <w:vAlign w:val="center"/>
          </w:tcPr>
          <w:p>
            <w:pPr>
              <w:spacing w:line="264" w:lineRule="auto"/>
              <w:ind w:firstLine="400" w:firstLineChars="200"/>
              <w:rPr>
                <w:rFonts w:hint="eastAsia" w:ascii="华文楷体" w:hAnsi="华文楷体" w:eastAsia="华文楷体" w:cs="华文楷体"/>
                <w:bCs/>
                <w:color w:val="auto"/>
                <w:kern w:val="0"/>
                <w:sz w:val="20"/>
                <w:szCs w:val="20"/>
              </w:rPr>
            </w:pPr>
          </w:p>
        </w:tc>
      </w:tr>
    </w:tbl>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r>
        <w:rPr>
          <w:rFonts w:hint="eastAsia" w:ascii="华文楷体" w:hAnsi="华文楷体" w:eastAsia="华文楷体" w:cs="华文楷体"/>
          <w:b/>
          <w:bCs/>
          <w:color w:val="auto"/>
          <w:kern w:val="0"/>
          <w:sz w:val="20"/>
          <w:szCs w:val="20"/>
        </w:rPr>
        <w:t>双方义务</w:t>
      </w:r>
    </w:p>
    <w:p>
      <w:pPr>
        <w:pStyle w:val="16"/>
        <w:numPr>
          <w:ilvl w:val="0"/>
          <w:numId w:val="0"/>
        </w:numPr>
        <w:spacing w:line="264" w:lineRule="auto"/>
        <w:ind w:firstLine="400" w:firstLineChars="0"/>
        <w:rPr>
          <w:rFonts w:hint="eastAsia" w:ascii="华文楷体" w:hAnsi="华文楷体" w:eastAsia="华文楷体" w:cs="华文楷体"/>
          <w:bCs/>
          <w:color w:val="auto"/>
          <w:kern w:val="0"/>
          <w:sz w:val="20"/>
          <w:szCs w:val="20"/>
        </w:rPr>
      </w:pPr>
      <w:r>
        <w:rPr>
          <w:rFonts w:hint="default"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.1甲方义务</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.1.1甲方应当按照合同约定与乙方对账及支付价款。</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.1.2甲方应按合同要求，确认供货对账表及相关洽商。</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3</w:t>
      </w:r>
      <w:r>
        <w:rPr>
          <w:rFonts w:hint="eastAsia" w:ascii="华文楷体" w:hAnsi="华文楷体" w:eastAsia="华文楷体" w:cs="华文楷体"/>
          <w:bCs/>
          <w:color w:val="auto"/>
          <w:kern w:val="0"/>
          <w:sz w:val="20"/>
          <w:szCs w:val="20"/>
        </w:rPr>
        <w:t>甲方应保证施工现场的运输道路及卸货场地坚实、平整、通畅，保证载重</w:t>
      </w:r>
      <w:r>
        <w:rPr>
          <w:rFonts w:hint="eastAsia" w:ascii="华文楷体" w:hAnsi="华文楷体" w:eastAsia="华文楷体" w:cs="华文楷体"/>
          <w:bCs/>
          <w:color w:val="auto"/>
          <w:kern w:val="0"/>
          <w:sz w:val="20"/>
          <w:szCs w:val="20"/>
          <w:u w:val="single"/>
          <w:lang w:eastAsia="zh-CN"/>
        </w:rPr>
        <w:t xml:space="preserve"> </w:t>
      </w:r>
      <w:r>
        <w:rPr>
          <w:rFonts w:hint="eastAsia" w:ascii="华文楷体" w:hAnsi="华文楷体" w:eastAsia="华文楷体" w:cs="华文楷体"/>
          <w:bCs/>
          <w:color w:val="auto"/>
          <w:kern w:val="0"/>
          <w:sz w:val="20"/>
          <w:szCs w:val="20"/>
          <w:u w:val="single"/>
          <w:lang w:val="en-US" w:eastAsia="zh-CN"/>
        </w:rPr>
        <w:t xml:space="preserve">  </w:t>
      </w:r>
      <w:r>
        <w:rPr>
          <w:rFonts w:hint="eastAsia" w:ascii="华文楷体" w:hAnsi="华文楷体" w:eastAsia="华文楷体" w:cs="华文楷体"/>
          <w:bCs/>
          <w:color w:val="auto"/>
          <w:kern w:val="0"/>
          <w:sz w:val="20"/>
          <w:szCs w:val="20"/>
        </w:rPr>
        <w:t>吨的运输车辆的通行。甲方应负责提供必要的现场作业用水及照明设施。作业现场引起的扰民或民扰问题由甲方协调解决。</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4</w:t>
      </w:r>
      <w:r>
        <w:rPr>
          <w:rFonts w:hint="eastAsia" w:ascii="华文楷体" w:hAnsi="华文楷体" w:eastAsia="华文楷体" w:cs="华文楷体"/>
          <w:bCs/>
          <w:color w:val="auto"/>
          <w:kern w:val="0"/>
          <w:sz w:val="20"/>
          <w:szCs w:val="20"/>
        </w:rPr>
        <w:t>甲方应负责提供足够的运输和卸货的作业空间，保证并负责协调与其他单位的交叉作业事宜，墙体材料运输到达现场后</w:t>
      </w:r>
      <w:r>
        <w:rPr>
          <w:rFonts w:hint="eastAsia" w:ascii="华文楷体" w:hAnsi="华文楷体" w:eastAsia="华文楷体" w:cs="华文楷体"/>
          <w:bCs/>
          <w:color w:val="auto"/>
          <w:kern w:val="0"/>
          <w:sz w:val="20"/>
          <w:szCs w:val="20"/>
          <w:lang w:eastAsia="zh-CN"/>
        </w:rPr>
        <w:t>，</w:t>
      </w:r>
      <w:r>
        <w:rPr>
          <w:rFonts w:hint="eastAsia" w:ascii="华文楷体" w:hAnsi="华文楷体" w:eastAsia="华文楷体" w:cs="华文楷体"/>
          <w:bCs/>
          <w:color w:val="auto"/>
          <w:kern w:val="0"/>
          <w:sz w:val="20"/>
          <w:szCs w:val="20"/>
        </w:rPr>
        <w:t>甲方</w:t>
      </w:r>
      <w:r>
        <w:rPr>
          <w:rFonts w:hint="eastAsia" w:ascii="华文楷体" w:hAnsi="华文楷体" w:eastAsia="华文楷体" w:cs="华文楷体"/>
          <w:bCs/>
          <w:color w:val="auto"/>
          <w:kern w:val="0"/>
          <w:sz w:val="20"/>
          <w:szCs w:val="20"/>
          <w:lang w:eastAsia="zh-CN"/>
        </w:rPr>
        <w:t>负责卸车的，</w:t>
      </w:r>
      <w:r>
        <w:rPr>
          <w:rFonts w:hint="eastAsia" w:ascii="华文楷体" w:hAnsi="华文楷体" w:eastAsia="华文楷体" w:cs="华文楷体"/>
          <w:bCs/>
          <w:color w:val="auto"/>
          <w:kern w:val="0"/>
          <w:sz w:val="20"/>
          <w:szCs w:val="20"/>
        </w:rPr>
        <w:t>应在</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小时内完成卸车作业并收货验收，如</w:t>
      </w:r>
      <w:r>
        <w:rPr>
          <w:rFonts w:hint="eastAsia" w:ascii="华文楷体" w:hAnsi="华文楷体" w:eastAsia="华文楷体" w:cs="华文楷体"/>
          <w:bCs/>
          <w:color w:val="auto"/>
          <w:kern w:val="0"/>
          <w:sz w:val="20"/>
          <w:szCs w:val="20"/>
          <w:lang w:eastAsia="zh-CN"/>
        </w:rPr>
        <w:t>因甲方原因</w:t>
      </w:r>
      <w:r>
        <w:rPr>
          <w:rFonts w:hint="eastAsia" w:ascii="华文楷体" w:hAnsi="华文楷体" w:eastAsia="华文楷体" w:cs="华文楷体"/>
          <w:bCs/>
          <w:color w:val="auto"/>
          <w:kern w:val="0"/>
          <w:sz w:val="20"/>
          <w:szCs w:val="20"/>
        </w:rPr>
        <w:t>超时导致乙方产生压车费的，甲方应按照每小时</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元/车的费用支付。</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.2乙方义务</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.2.1乙方应当按照合同约定保质保量按时供货。</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.2.2乙方应按合同要求，确认供货对账表及相关洽商。</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.2.</w:t>
      </w:r>
      <w:r>
        <w:rPr>
          <w:rFonts w:hint="eastAsia" w:ascii="华文楷体" w:hAnsi="华文楷体" w:eastAsia="华文楷体" w:cs="华文楷体"/>
          <w:bCs/>
          <w:color w:val="auto"/>
          <w:kern w:val="0"/>
          <w:sz w:val="20"/>
          <w:szCs w:val="20"/>
          <w:lang w:val="en-US" w:eastAsia="zh-CN"/>
        </w:rPr>
        <w:t>3</w:t>
      </w:r>
      <w:r>
        <w:rPr>
          <w:rFonts w:hint="eastAsia" w:ascii="华文楷体" w:hAnsi="华文楷体" w:eastAsia="华文楷体" w:cs="华文楷体"/>
          <w:bCs/>
          <w:color w:val="auto"/>
          <w:kern w:val="0"/>
          <w:sz w:val="20"/>
          <w:szCs w:val="20"/>
        </w:rPr>
        <w:t>乙方</w:t>
      </w:r>
      <w:r>
        <w:rPr>
          <w:rFonts w:hint="eastAsia" w:ascii="华文楷体" w:hAnsi="华文楷体" w:eastAsia="华文楷体" w:cs="华文楷体"/>
          <w:bCs/>
          <w:color w:val="auto"/>
          <w:kern w:val="0"/>
          <w:sz w:val="20"/>
          <w:szCs w:val="20"/>
          <w:lang w:eastAsia="zh-CN"/>
        </w:rPr>
        <w:t>应按照</w:t>
      </w:r>
      <w:r>
        <w:rPr>
          <w:rFonts w:hint="eastAsia" w:ascii="华文楷体" w:hAnsi="华文楷体" w:eastAsia="华文楷体" w:cs="华文楷体"/>
          <w:bCs/>
          <w:color w:val="auto"/>
          <w:kern w:val="0"/>
          <w:sz w:val="20"/>
          <w:szCs w:val="20"/>
          <w:lang w:val="en-US" w:eastAsia="zh-CN"/>
        </w:rPr>
        <w:t>合同约定的供货期</w:t>
      </w:r>
      <w:r>
        <w:rPr>
          <w:rFonts w:hint="eastAsia" w:ascii="华文楷体" w:hAnsi="华文楷体" w:eastAsia="华文楷体" w:cs="华文楷体"/>
          <w:bCs/>
          <w:color w:val="auto"/>
          <w:kern w:val="0"/>
          <w:sz w:val="20"/>
          <w:szCs w:val="20"/>
        </w:rPr>
        <w:t>制定装车发货计划并执行，保障供货要求及产品质量。</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.2.</w:t>
      </w:r>
      <w:r>
        <w:rPr>
          <w:rFonts w:hint="eastAsia" w:ascii="华文楷体" w:hAnsi="华文楷体" w:eastAsia="华文楷体" w:cs="华文楷体"/>
          <w:bCs/>
          <w:color w:val="auto"/>
          <w:kern w:val="0"/>
          <w:sz w:val="20"/>
          <w:szCs w:val="20"/>
          <w:lang w:val="en-US" w:eastAsia="zh-CN"/>
        </w:rPr>
        <w:t>4</w:t>
      </w:r>
      <w:r>
        <w:rPr>
          <w:rFonts w:hint="eastAsia" w:ascii="华文楷体" w:hAnsi="华文楷体" w:eastAsia="华文楷体" w:cs="华文楷体"/>
          <w:bCs/>
          <w:color w:val="auto"/>
          <w:kern w:val="0"/>
          <w:sz w:val="20"/>
          <w:szCs w:val="20"/>
        </w:rPr>
        <w:t>乙方</w:t>
      </w:r>
      <w:r>
        <w:rPr>
          <w:rFonts w:hint="eastAsia" w:ascii="华文楷体" w:hAnsi="华文楷体" w:eastAsia="华文楷体" w:cs="华文楷体"/>
          <w:bCs/>
          <w:color w:val="auto"/>
          <w:kern w:val="0"/>
          <w:sz w:val="20"/>
          <w:szCs w:val="20"/>
          <w:lang w:eastAsia="zh-CN"/>
        </w:rPr>
        <w:t>应按照</w:t>
      </w:r>
      <w:r>
        <w:rPr>
          <w:rFonts w:hint="eastAsia" w:ascii="华文楷体" w:hAnsi="华文楷体" w:eastAsia="华文楷体" w:cs="华文楷体"/>
          <w:bCs/>
          <w:color w:val="auto"/>
          <w:kern w:val="0"/>
          <w:sz w:val="20"/>
          <w:szCs w:val="20"/>
        </w:rPr>
        <w:t>发货计划和交货方式按时将货物运输到本合同约定的货物交接地点，并配合办理交货验证手续。</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.2.</w:t>
      </w:r>
      <w:r>
        <w:rPr>
          <w:rFonts w:hint="eastAsia" w:ascii="华文楷体" w:hAnsi="华文楷体" w:eastAsia="华文楷体" w:cs="华文楷体"/>
          <w:bCs/>
          <w:color w:val="auto"/>
          <w:kern w:val="0"/>
          <w:sz w:val="20"/>
          <w:szCs w:val="20"/>
          <w:lang w:val="en-US" w:eastAsia="zh-CN"/>
        </w:rPr>
        <w:t>5</w:t>
      </w:r>
      <w:r>
        <w:rPr>
          <w:rFonts w:hint="eastAsia" w:ascii="华文楷体" w:hAnsi="华文楷体" w:eastAsia="华文楷体" w:cs="华文楷体"/>
          <w:bCs/>
          <w:color w:val="auto"/>
          <w:kern w:val="0"/>
          <w:sz w:val="20"/>
          <w:szCs w:val="20"/>
        </w:rPr>
        <w:t>在将墙体材料交付甲方之前，乙方应采取合理措施保证墙体材料不受损失，并承担墙体材料毁损及灭失的风险。</w:t>
      </w:r>
    </w:p>
    <w:p>
      <w:pPr>
        <w:pStyle w:val="16"/>
        <w:spacing w:line="264" w:lineRule="auto"/>
        <w:ind w:firstLine="400" w:firstLineChars="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.2.</w:t>
      </w: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乙方的车辆进入甲方施工现场（或约定送货地点）必须服从甲方的调度管理。</w:t>
      </w:r>
    </w:p>
    <w:p>
      <w:pPr>
        <w:pStyle w:val="16"/>
        <w:spacing w:line="264" w:lineRule="auto"/>
        <w:ind w:firstLine="400" w:firstLineChars="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.2.</w:t>
      </w:r>
      <w:r>
        <w:rPr>
          <w:rFonts w:hint="eastAsia" w:ascii="华文楷体" w:hAnsi="华文楷体" w:eastAsia="华文楷体" w:cs="华文楷体"/>
          <w:bCs/>
          <w:color w:val="auto"/>
          <w:kern w:val="0"/>
          <w:sz w:val="20"/>
          <w:szCs w:val="20"/>
          <w:lang w:val="en-US" w:eastAsia="zh-CN"/>
        </w:rPr>
        <w:t>7</w:t>
      </w:r>
      <w:r>
        <w:rPr>
          <w:rFonts w:hint="eastAsia" w:ascii="华文楷体" w:hAnsi="华文楷体" w:eastAsia="华文楷体" w:cs="华文楷体"/>
          <w:bCs/>
          <w:color w:val="auto"/>
          <w:kern w:val="0"/>
          <w:sz w:val="20"/>
          <w:szCs w:val="20"/>
        </w:rPr>
        <w:t>乙方人员及车辆必须遵守甲方现场管理要求</w:t>
      </w:r>
      <w:r>
        <w:rPr>
          <w:rFonts w:hint="eastAsia" w:ascii="华文楷体" w:hAnsi="华文楷体" w:eastAsia="华文楷体" w:cs="华文楷体"/>
          <w:bCs/>
          <w:color w:val="auto"/>
          <w:kern w:val="0"/>
          <w:sz w:val="20"/>
          <w:szCs w:val="20"/>
          <w:lang w:eastAsia="zh-CN"/>
        </w:rPr>
        <w:t>和</w:t>
      </w:r>
      <w:r>
        <w:rPr>
          <w:rFonts w:hint="eastAsia" w:ascii="华文楷体" w:hAnsi="华文楷体" w:eastAsia="华文楷体" w:cs="华文楷体"/>
          <w:bCs/>
          <w:color w:val="auto"/>
          <w:kern w:val="0"/>
          <w:sz w:val="20"/>
          <w:szCs w:val="20"/>
        </w:rPr>
        <w:t>安全管理规定，因乙方原因引发的生产安全事故</w:t>
      </w:r>
      <w:r>
        <w:rPr>
          <w:rFonts w:hint="eastAsia" w:ascii="华文楷体" w:hAnsi="华文楷体" w:eastAsia="华文楷体" w:cs="华文楷体"/>
          <w:bCs/>
          <w:color w:val="auto"/>
          <w:kern w:val="0"/>
          <w:sz w:val="20"/>
          <w:szCs w:val="20"/>
          <w:lang w:eastAsia="zh-CN"/>
        </w:rPr>
        <w:t>等</w:t>
      </w:r>
      <w:r>
        <w:rPr>
          <w:rFonts w:hint="eastAsia" w:ascii="华文楷体" w:hAnsi="华文楷体" w:eastAsia="华文楷体" w:cs="华文楷体"/>
          <w:bCs/>
          <w:color w:val="auto"/>
          <w:kern w:val="0"/>
          <w:sz w:val="20"/>
          <w:szCs w:val="20"/>
        </w:rPr>
        <w:t>由乙方承担全部责任和经济损失。乙方对甲方现场物品、设施造成损失，乙方负责赔偿。</w:t>
      </w:r>
    </w:p>
    <w:p>
      <w:pPr>
        <w:pStyle w:val="16"/>
        <w:spacing w:line="264" w:lineRule="auto"/>
        <w:ind w:firstLine="400" w:firstLineChars="0"/>
        <w:rPr>
          <w:rFonts w:hint="eastAsia" w:ascii="华文楷体" w:hAnsi="华文楷体" w:eastAsia="华文楷体" w:cs="华文楷体"/>
          <w:bCs/>
          <w:color w:val="auto"/>
          <w:kern w:val="0"/>
          <w:sz w:val="20"/>
          <w:szCs w:val="20"/>
          <w:lang w:eastAsia="zh-CN"/>
        </w:rPr>
      </w:pPr>
      <w:r>
        <w:rPr>
          <w:rFonts w:hint="eastAsia" w:ascii="华文楷体" w:hAnsi="华文楷体" w:eastAsia="华文楷体" w:cs="华文楷体"/>
          <w:bCs/>
          <w:color w:val="auto"/>
          <w:kern w:val="0"/>
          <w:sz w:val="20"/>
          <w:szCs w:val="20"/>
          <w:lang w:val="en-US" w:eastAsia="zh-CN"/>
        </w:rPr>
        <w:t>6</w:t>
      </w:r>
      <w:r>
        <w:rPr>
          <w:rFonts w:hint="eastAsia" w:ascii="华文楷体" w:hAnsi="华文楷体" w:eastAsia="华文楷体" w:cs="华文楷体"/>
          <w:bCs/>
          <w:color w:val="auto"/>
          <w:kern w:val="0"/>
          <w:sz w:val="20"/>
          <w:szCs w:val="20"/>
        </w:rPr>
        <w:t>.2.</w:t>
      </w: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未经甲方</w:t>
      </w:r>
      <w:r>
        <w:rPr>
          <w:rFonts w:hint="eastAsia" w:ascii="华文楷体" w:hAnsi="华文楷体" w:eastAsia="华文楷体" w:cs="华文楷体"/>
          <w:bCs/>
          <w:color w:val="auto"/>
          <w:kern w:val="0"/>
          <w:sz w:val="20"/>
          <w:szCs w:val="20"/>
          <w:lang w:eastAsia="zh-CN"/>
        </w:rPr>
        <w:t>同意</w:t>
      </w:r>
      <w:r>
        <w:rPr>
          <w:rFonts w:hint="eastAsia" w:ascii="华文楷体" w:hAnsi="华文楷体" w:eastAsia="华文楷体" w:cs="华文楷体"/>
          <w:bCs/>
          <w:color w:val="auto"/>
          <w:kern w:val="0"/>
          <w:sz w:val="20"/>
          <w:szCs w:val="20"/>
        </w:rPr>
        <w:t>，乙方不得转让合同项下的权利或义务</w:t>
      </w:r>
      <w:r>
        <w:rPr>
          <w:rFonts w:hint="eastAsia" w:ascii="华文楷体" w:hAnsi="华文楷体" w:eastAsia="华文楷体" w:cs="华文楷体"/>
          <w:bCs/>
          <w:color w:val="auto"/>
          <w:kern w:val="0"/>
          <w:sz w:val="20"/>
          <w:szCs w:val="20"/>
          <w:lang w:eastAsia="zh-CN"/>
        </w:rPr>
        <w:t>。</w:t>
      </w:r>
    </w:p>
    <w:p>
      <w:pPr>
        <w:pStyle w:val="15"/>
        <w:numPr>
          <w:ilvl w:val="0"/>
          <w:numId w:val="1"/>
        </w:numPr>
        <w:spacing w:line="264" w:lineRule="auto"/>
        <w:ind w:firstLineChars="0"/>
        <w:rPr>
          <w:rFonts w:ascii="华文楷体" w:hAnsi="华文楷体" w:eastAsia="华文楷体" w:cs="华文楷体"/>
          <w:b/>
          <w:bCs/>
          <w:color w:val="auto"/>
          <w:kern w:val="0"/>
          <w:sz w:val="20"/>
          <w:szCs w:val="20"/>
        </w:rPr>
      </w:pPr>
      <w:r>
        <w:rPr>
          <w:rFonts w:hint="eastAsia" w:ascii="华文楷体" w:hAnsi="华文楷体" w:eastAsia="华文楷体" w:cs="华文楷体"/>
          <w:b/>
          <w:bCs/>
          <w:color w:val="auto"/>
          <w:kern w:val="0"/>
          <w:sz w:val="20"/>
          <w:szCs w:val="20"/>
        </w:rPr>
        <w:t>质保期和质保责任</w:t>
      </w:r>
    </w:p>
    <w:p>
      <w:pPr>
        <w:pStyle w:val="15"/>
        <w:spacing w:line="264" w:lineRule="auto"/>
        <w:ind w:firstLine="400"/>
        <w:rPr>
          <w:rFonts w:hint="eastAsia" w:ascii="华文楷体" w:hAnsi="华文楷体" w:eastAsia="华文楷体" w:cs="华文楷体"/>
          <w:b w:val="0"/>
          <w:bCs/>
          <w:color w:val="auto"/>
          <w:kern w:val="0"/>
          <w:sz w:val="20"/>
          <w:szCs w:val="20"/>
        </w:rPr>
      </w:pPr>
      <w:r>
        <w:rPr>
          <w:rFonts w:hint="eastAsia" w:ascii="华文楷体" w:hAnsi="华文楷体" w:eastAsia="华文楷体" w:cs="华文楷体"/>
          <w:b w:val="0"/>
          <w:bCs/>
          <w:color w:val="auto"/>
          <w:kern w:val="0"/>
          <w:sz w:val="20"/>
          <w:szCs w:val="20"/>
          <w:lang w:val="en-US" w:eastAsia="zh-CN"/>
        </w:rPr>
        <w:t>7</w:t>
      </w:r>
      <w:r>
        <w:rPr>
          <w:rFonts w:hint="eastAsia" w:ascii="华文楷体" w:hAnsi="华文楷体" w:eastAsia="华文楷体" w:cs="华文楷体"/>
          <w:b w:val="0"/>
          <w:bCs/>
          <w:color w:val="auto"/>
          <w:kern w:val="0"/>
          <w:sz w:val="20"/>
          <w:szCs w:val="20"/>
        </w:rPr>
        <w:t>.1 乙方对产品的质量保证期限为</w:t>
      </w:r>
      <w:r>
        <w:rPr>
          <w:rFonts w:hint="eastAsia" w:ascii="华文楷体" w:hAnsi="华文楷体" w:eastAsia="华文楷体" w:cs="华文楷体"/>
          <w:b w:val="0"/>
          <w:bCs/>
          <w:color w:val="auto"/>
          <w:kern w:val="0"/>
          <w:sz w:val="20"/>
          <w:szCs w:val="20"/>
          <w:u w:val="single"/>
          <w:lang w:eastAsia="zh-CN"/>
        </w:rPr>
        <w:t>　　</w:t>
      </w:r>
      <w:r>
        <w:rPr>
          <w:rFonts w:hint="eastAsia" w:ascii="华文楷体" w:hAnsi="华文楷体" w:eastAsia="华文楷体" w:cs="华文楷体"/>
          <w:b w:val="0"/>
          <w:bCs/>
          <w:color w:val="auto"/>
          <w:kern w:val="0"/>
          <w:sz w:val="20"/>
          <w:szCs w:val="20"/>
        </w:rPr>
        <w:t>年，自产品交付甲方并验收合格时起算。</w:t>
      </w:r>
    </w:p>
    <w:p>
      <w:pPr>
        <w:pStyle w:val="16"/>
        <w:spacing w:line="264" w:lineRule="auto"/>
        <w:ind w:firstLine="400"/>
        <w:rPr>
          <w:rFonts w:hint="eastAsia" w:ascii="华文楷体" w:hAnsi="华文楷体" w:eastAsia="华文楷体" w:cs="华文楷体"/>
          <w:b w:val="0"/>
          <w:bCs/>
          <w:color w:val="auto"/>
          <w:kern w:val="0"/>
          <w:sz w:val="20"/>
          <w:szCs w:val="20"/>
        </w:rPr>
      </w:pPr>
      <w:r>
        <w:rPr>
          <w:rFonts w:hint="eastAsia" w:ascii="华文楷体" w:hAnsi="华文楷体" w:eastAsia="华文楷体" w:cs="华文楷体"/>
          <w:b w:val="0"/>
          <w:bCs/>
          <w:color w:val="auto"/>
          <w:kern w:val="0"/>
          <w:sz w:val="20"/>
          <w:szCs w:val="20"/>
          <w:lang w:val="en-US" w:eastAsia="zh-CN"/>
        </w:rPr>
        <w:t>7</w:t>
      </w:r>
      <w:r>
        <w:rPr>
          <w:rFonts w:hint="eastAsia" w:ascii="华文楷体" w:hAnsi="华文楷体" w:eastAsia="华文楷体" w:cs="华文楷体"/>
          <w:b w:val="0"/>
          <w:bCs/>
          <w:color w:val="auto"/>
          <w:kern w:val="0"/>
          <w:sz w:val="20"/>
          <w:szCs w:val="20"/>
        </w:rPr>
        <w:t>.2 乙方的质保责任仅覆盖</w:t>
      </w:r>
      <w:r>
        <w:rPr>
          <w:rFonts w:hint="eastAsia" w:ascii="华文楷体" w:hAnsi="华文楷体" w:eastAsia="华文楷体" w:cs="华文楷体"/>
          <w:b w:val="0"/>
          <w:bCs/>
          <w:color w:val="auto"/>
          <w:kern w:val="0"/>
          <w:sz w:val="20"/>
          <w:szCs w:val="20"/>
          <w:lang w:eastAsia="zh-CN"/>
        </w:rPr>
        <w:t>墙体</w:t>
      </w:r>
      <w:r>
        <w:rPr>
          <w:rFonts w:hint="eastAsia" w:ascii="华文楷体" w:hAnsi="华文楷体" w:eastAsia="华文楷体" w:cs="华文楷体"/>
          <w:b w:val="0"/>
          <w:bCs/>
          <w:color w:val="auto"/>
          <w:kern w:val="0"/>
          <w:sz w:val="20"/>
          <w:szCs w:val="20"/>
        </w:rPr>
        <w:t>材料自身缺陷，不包含施工与安装</w:t>
      </w:r>
      <w:r>
        <w:rPr>
          <w:rFonts w:hint="eastAsia" w:ascii="华文楷体" w:hAnsi="华文楷体" w:eastAsia="华文楷体" w:cs="华文楷体"/>
          <w:b w:val="0"/>
          <w:bCs/>
          <w:color w:val="auto"/>
          <w:kern w:val="0"/>
          <w:sz w:val="20"/>
          <w:szCs w:val="20"/>
          <w:lang w:val="en-US" w:eastAsia="zh-CN"/>
        </w:rPr>
        <w:t>质量</w:t>
      </w:r>
      <w:r>
        <w:rPr>
          <w:rFonts w:hint="eastAsia" w:ascii="华文楷体" w:hAnsi="华文楷体" w:eastAsia="华文楷体" w:cs="华文楷体"/>
          <w:b w:val="0"/>
          <w:bCs/>
          <w:color w:val="auto"/>
          <w:kern w:val="0"/>
          <w:sz w:val="20"/>
          <w:szCs w:val="20"/>
        </w:rPr>
        <w:t>问题。</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 xml:space="preserve">7.3 </w:t>
      </w:r>
      <w:r>
        <w:rPr>
          <w:rFonts w:hint="eastAsia" w:ascii="华文楷体" w:hAnsi="华文楷体" w:eastAsia="华文楷体" w:cs="华文楷体"/>
          <w:bCs/>
          <w:color w:val="auto"/>
          <w:kern w:val="0"/>
          <w:sz w:val="20"/>
          <w:szCs w:val="20"/>
        </w:rPr>
        <w:t>在质保期内，如出现乙方责任的质量问题，乙方应在接到甲方通知</w:t>
      </w:r>
      <w:r>
        <w:rPr>
          <w:rFonts w:hint="eastAsia" w:ascii="华文楷体" w:hAnsi="华文楷体" w:eastAsia="华文楷体" w:cs="华文楷体"/>
          <w:bCs/>
          <w:color w:val="auto"/>
          <w:kern w:val="0"/>
          <w:sz w:val="20"/>
          <w:szCs w:val="20"/>
          <w:u w:val="single"/>
          <w:lang w:eastAsia="zh-CN"/>
        </w:rPr>
        <w:t xml:space="preserve"> </w:t>
      </w:r>
      <w:r>
        <w:rPr>
          <w:rFonts w:hint="eastAsia" w:ascii="华文楷体" w:hAnsi="华文楷体" w:eastAsia="华文楷体" w:cs="华文楷体"/>
          <w:bCs/>
          <w:color w:val="auto"/>
          <w:kern w:val="0"/>
          <w:sz w:val="20"/>
          <w:szCs w:val="20"/>
          <w:u w:val="single"/>
          <w:lang w:val="en-US" w:eastAsia="zh-CN"/>
        </w:rPr>
        <w:t xml:space="preserve">   </w:t>
      </w:r>
      <w:r>
        <w:rPr>
          <w:rFonts w:hint="eastAsia" w:ascii="华文楷体" w:hAnsi="华文楷体" w:eastAsia="华文楷体" w:cs="华文楷体"/>
          <w:bCs/>
          <w:color w:val="auto"/>
          <w:kern w:val="0"/>
          <w:sz w:val="20"/>
          <w:szCs w:val="20"/>
        </w:rPr>
        <w:t>日内到达现场，负责无偿更换，并按甲方要求处理相关事宜。</w:t>
      </w:r>
    </w:p>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r>
        <w:rPr>
          <w:rFonts w:hint="eastAsia" w:ascii="华文楷体" w:hAnsi="华文楷体" w:eastAsia="华文楷体" w:cs="华文楷体"/>
          <w:b/>
          <w:bCs/>
          <w:color w:val="auto"/>
          <w:kern w:val="0"/>
          <w:sz w:val="20"/>
          <w:szCs w:val="20"/>
        </w:rPr>
        <w:t>违约责任</w:t>
      </w:r>
    </w:p>
    <w:p>
      <w:pPr>
        <w:pStyle w:val="16"/>
        <w:numPr>
          <w:ilvl w:val="0"/>
          <w:numId w:val="0"/>
        </w:numPr>
        <w:spacing w:line="264" w:lineRule="auto"/>
        <w:ind w:firstLine="400" w:firstLineChars="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.1甲方违约责任</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.1.1甲方逾期付款的，应当每日按逾期付款金额的</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%向乙方支付违约金，且乙方有权暂停供货；逾期付款达到应付货款的</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%以上或超过</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u w:val="single"/>
          <w:lang w:val="en-US" w:eastAsia="zh-CN"/>
        </w:rPr>
        <w:t xml:space="preserve"> </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日的，乙方有权解除合同。</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.1.2甲方应按</w:t>
      </w:r>
      <w:r>
        <w:rPr>
          <w:rFonts w:ascii="华文楷体" w:hAnsi="华文楷体" w:eastAsia="华文楷体" w:cs="华文楷体"/>
          <w:bCs/>
          <w:color w:val="auto"/>
          <w:kern w:val="0"/>
          <w:sz w:val="20"/>
          <w:szCs w:val="20"/>
        </w:rPr>
        <w:t>需求计划</w:t>
      </w:r>
      <w:r>
        <w:rPr>
          <w:rFonts w:hint="eastAsia" w:ascii="华文楷体" w:hAnsi="华文楷体" w:eastAsia="华文楷体" w:cs="华文楷体"/>
          <w:bCs/>
          <w:color w:val="auto"/>
          <w:kern w:val="0"/>
          <w:sz w:val="20"/>
          <w:szCs w:val="20"/>
        </w:rPr>
        <w:t>的数量和时间收货，甲方逾期无正当理由拒绝收货的，甲方应支付约定数量对应的货款，同时承担乙方场地的占用费用损失、运输费用损失等实际损失。</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.1.3由于甲方原因导致货物交接地点或收货人错误的，甲方应当承担由此给乙方造成的损失，交货期限顺延。</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8.1.4</w:t>
      </w:r>
      <w:r>
        <w:rPr>
          <w:rFonts w:hint="eastAsia" w:ascii="华文楷体" w:hAnsi="华文楷体" w:eastAsia="华文楷体" w:cs="华文楷体"/>
          <w:bCs/>
          <w:color w:val="auto"/>
          <w:kern w:val="0"/>
          <w:sz w:val="20"/>
          <w:szCs w:val="20"/>
        </w:rPr>
        <w:t>甲方</w:t>
      </w:r>
      <w:r>
        <w:rPr>
          <w:rFonts w:hint="eastAsia" w:ascii="华文楷体" w:hAnsi="华文楷体" w:eastAsia="华文楷体" w:cs="华文楷体"/>
          <w:bCs/>
          <w:color w:val="auto"/>
          <w:kern w:val="0"/>
          <w:sz w:val="20"/>
          <w:szCs w:val="20"/>
          <w:lang w:val="en-US" w:eastAsia="zh-CN"/>
        </w:rPr>
        <w:t>未按合同</w:t>
      </w:r>
      <w:r>
        <w:rPr>
          <w:rFonts w:hint="eastAsia" w:ascii="华文楷体" w:hAnsi="华文楷体" w:eastAsia="华文楷体" w:cs="华文楷体"/>
          <w:bCs/>
          <w:color w:val="auto"/>
          <w:kern w:val="0"/>
          <w:sz w:val="20"/>
          <w:szCs w:val="20"/>
        </w:rPr>
        <w:t>要求确认供货对账表及相关洽商</w:t>
      </w:r>
      <w:r>
        <w:rPr>
          <w:rFonts w:hint="eastAsia" w:ascii="华文楷体" w:hAnsi="华文楷体" w:eastAsia="华文楷体" w:cs="华文楷体"/>
          <w:bCs/>
          <w:color w:val="auto"/>
          <w:kern w:val="0"/>
          <w:sz w:val="20"/>
          <w:szCs w:val="20"/>
          <w:lang w:val="en-US" w:eastAsia="zh-CN"/>
        </w:rPr>
        <w:t>的</w:t>
      </w:r>
      <w:r>
        <w:rPr>
          <w:rFonts w:hint="eastAsia" w:ascii="华文楷体" w:hAnsi="华文楷体" w:eastAsia="华文楷体" w:cs="华文楷体"/>
          <w:bCs/>
          <w:color w:val="auto"/>
          <w:kern w:val="0"/>
          <w:sz w:val="20"/>
          <w:szCs w:val="20"/>
        </w:rPr>
        <w:t>，影响付款、供货</w:t>
      </w:r>
      <w:r>
        <w:rPr>
          <w:rFonts w:hint="eastAsia" w:ascii="华文楷体" w:hAnsi="华文楷体" w:eastAsia="华文楷体" w:cs="华文楷体"/>
          <w:bCs/>
          <w:color w:val="auto"/>
          <w:kern w:val="0"/>
          <w:sz w:val="20"/>
          <w:szCs w:val="20"/>
          <w:lang w:eastAsia="zh-CN"/>
        </w:rPr>
        <w:t>，</w:t>
      </w:r>
      <w:r>
        <w:rPr>
          <w:rFonts w:hint="eastAsia" w:ascii="华文楷体" w:hAnsi="华文楷体" w:eastAsia="华文楷体" w:cs="华文楷体"/>
          <w:bCs/>
          <w:color w:val="auto"/>
          <w:kern w:val="0"/>
          <w:sz w:val="20"/>
          <w:szCs w:val="20"/>
        </w:rPr>
        <w:t>应当承担相应的赔偿责任。</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5</w:t>
      </w:r>
      <w:r>
        <w:rPr>
          <w:rFonts w:hint="eastAsia" w:ascii="华文楷体" w:hAnsi="华文楷体" w:eastAsia="华文楷体" w:cs="华文楷体"/>
          <w:bCs/>
          <w:color w:val="auto"/>
          <w:kern w:val="0"/>
          <w:sz w:val="20"/>
          <w:szCs w:val="20"/>
        </w:rPr>
        <w:t>甲方未按合同约定履行其他义务给乙方造成损失的，应当承担相应的赔偿责任。</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.2乙方违约责任</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.2.1乙方逾期交货的，应当每日按逾期交货价款的</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%向甲方支付违约金；逾期交货日期超过</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日的，甲方有权解除合同。</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.2.2乙方交货被甲方依合同约定拒收或退货</w:t>
      </w:r>
      <w:r>
        <w:rPr>
          <w:rFonts w:hint="eastAsia" w:ascii="华文楷体" w:hAnsi="华文楷体" w:eastAsia="华文楷体" w:cs="华文楷体"/>
          <w:bCs/>
          <w:color w:val="auto"/>
          <w:kern w:val="0"/>
          <w:sz w:val="20"/>
          <w:szCs w:val="20"/>
          <w:lang w:val="en-US" w:eastAsia="zh-CN"/>
        </w:rPr>
        <w:t>后，</w:t>
      </w:r>
      <w:r>
        <w:rPr>
          <w:rFonts w:hint="eastAsia" w:ascii="华文楷体" w:hAnsi="华文楷体" w:eastAsia="华文楷体" w:cs="华文楷体"/>
          <w:bCs/>
          <w:color w:val="auto"/>
          <w:kern w:val="0"/>
          <w:sz w:val="20"/>
          <w:szCs w:val="20"/>
        </w:rPr>
        <w:t>逾期</w:t>
      </w:r>
      <w:r>
        <w:rPr>
          <w:rFonts w:hint="eastAsia" w:ascii="华文楷体" w:hAnsi="华文楷体" w:eastAsia="华文楷体" w:cs="华文楷体"/>
          <w:bCs/>
          <w:color w:val="auto"/>
          <w:kern w:val="0"/>
          <w:sz w:val="20"/>
          <w:szCs w:val="20"/>
          <w:lang w:val="en-US" w:eastAsia="zh-CN"/>
        </w:rPr>
        <w:t>未</w:t>
      </w:r>
      <w:r>
        <w:rPr>
          <w:rFonts w:hint="eastAsia" w:ascii="华文楷体" w:hAnsi="华文楷体" w:eastAsia="华文楷体" w:cs="华文楷体"/>
          <w:bCs/>
          <w:color w:val="auto"/>
          <w:kern w:val="0"/>
          <w:sz w:val="20"/>
          <w:szCs w:val="20"/>
        </w:rPr>
        <w:t>补齐或</w:t>
      </w:r>
      <w:r>
        <w:rPr>
          <w:rFonts w:hint="eastAsia" w:ascii="华文楷体" w:hAnsi="华文楷体" w:eastAsia="华文楷体" w:cs="华文楷体"/>
          <w:bCs/>
          <w:color w:val="auto"/>
          <w:kern w:val="0"/>
          <w:sz w:val="20"/>
          <w:szCs w:val="20"/>
          <w:lang w:val="en-US" w:eastAsia="zh-CN"/>
        </w:rPr>
        <w:t>未</w:t>
      </w:r>
      <w:r>
        <w:rPr>
          <w:rFonts w:hint="eastAsia" w:ascii="华文楷体" w:hAnsi="华文楷体" w:eastAsia="华文楷体" w:cs="华文楷体"/>
          <w:bCs/>
          <w:color w:val="auto"/>
          <w:kern w:val="0"/>
          <w:sz w:val="20"/>
          <w:szCs w:val="20"/>
        </w:rPr>
        <w:t>更换货物的，还应按照第</w:t>
      </w:r>
      <w:r>
        <w:rPr>
          <w:rFonts w:hint="default" w:ascii="华文楷体" w:hAnsi="华文楷体" w:eastAsia="华文楷体" w:cs="华文楷体"/>
          <w:bCs/>
          <w:color w:val="auto"/>
          <w:kern w:val="0"/>
          <w:sz w:val="20"/>
          <w:szCs w:val="20"/>
          <w:lang w:val="en-US" w:eastAsia="zh-CN"/>
        </w:rPr>
        <w:t>8</w:t>
      </w:r>
      <w:r>
        <w:rPr>
          <w:rFonts w:ascii="华文楷体" w:hAnsi="华文楷体" w:eastAsia="华文楷体" w:cs="华文楷体"/>
          <w:bCs/>
          <w:color w:val="auto"/>
          <w:kern w:val="0"/>
          <w:sz w:val="20"/>
          <w:szCs w:val="20"/>
        </w:rPr>
        <w:t>.2</w:t>
      </w:r>
      <w:r>
        <w:rPr>
          <w:rFonts w:hint="eastAsia" w:ascii="华文楷体" w:hAnsi="华文楷体" w:eastAsia="华文楷体" w:cs="华文楷体"/>
          <w:bCs/>
          <w:color w:val="auto"/>
          <w:kern w:val="0"/>
          <w:sz w:val="20"/>
          <w:szCs w:val="20"/>
        </w:rPr>
        <w:t>.</w:t>
      </w:r>
      <w:r>
        <w:rPr>
          <w:rFonts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rPr>
        <w:t>条的约定承担逾期交付的违约责任。</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.2.3乙方弄虚作假，向甲方提供虚假墙体材料合格证、型式（出厂）检测报告的，应承担当批次墙体材料货款</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u w:val="single"/>
          <w:lang w:val="en-US" w:eastAsia="zh-CN"/>
        </w:rPr>
        <w:t xml:space="preserve">  </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%的违约金，</w:t>
      </w:r>
      <w:r>
        <w:rPr>
          <w:rFonts w:hint="eastAsia" w:ascii="华文楷体" w:hAnsi="华文楷体" w:eastAsia="华文楷体" w:cs="华文楷体"/>
          <w:bCs/>
          <w:color w:val="auto"/>
          <w:kern w:val="0"/>
          <w:sz w:val="20"/>
          <w:szCs w:val="20"/>
          <w:lang w:eastAsia="zh-CN"/>
        </w:rPr>
        <w:t>且甲方有权拒收该批次全部货物或要求退货，乙方应在</w:t>
      </w:r>
      <w:r>
        <w:rPr>
          <w:rFonts w:hint="eastAsia" w:ascii="华文楷体" w:hAnsi="华文楷体" w:eastAsia="华文楷体" w:cs="华文楷体"/>
          <w:bCs/>
          <w:color w:val="auto"/>
          <w:kern w:val="0"/>
          <w:sz w:val="20"/>
          <w:szCs w:val="20"/>
          <w:u w:val="single"/>
          <w:lang w:val="en-US" w:eastAsia="zh-CN"/>
        </w:rPr>
        <w:t xml:space="preserve">    </w:t>
      </w:r>
      <w:r>
        <w:rPr>
          <w:rFonts w:hint="eastAsia" w:ascii="华文楷体" w:hAnsi="华文楷体" w:eastAsia="华文楷体" w:cs="华文楷体"/>
          <w:bCs/>
          <w:color w:val="auto"/>
          <w:kern w:val="0"/>
          <w:sz w:val="20"/>
          <w:szCs w:val="20"/>
          <w:lang w:eastAsia="zh-CN"/>
        </w:rPr>
        <w:t>日内重新提供合格货物。</w:t>
      </w:r>
      <w:r>
        <w:rPr>
          <w:rFonts w:hint="eastAsia" w:ascii="华文楷体" w:hAnsi="华文楷体" w:eastAsia="华文楷体" w:cs="华文楷体"/>
          <w:bCs/>
          <w:color w:val="auto"/>
          <w:kern w:val="0"/>
          <w:sz w:val="20"/>
          <w:szCs w:val="20"/>
        </w:rPr>
        <w:t>给甲方造成损失的，应当承担相应的赔偿责任。</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.2.4货物验收后，甲方在</w:t>
      </w:r>
      <w:r>
        <w:rPr>
          <w:rFonts w:hint="eastAsia" w:ascii="华文楷体" w:hAnsi="华文楷体" w:eastAsia="华文楷体" w:cs="华文楷体"/>
          <w:bCs/>
          <w:color w:val="auto"/>
          <w:kern w:val="0"/>
          <w:sz w:val="20"/>
          <w:szCs w:val="20"/>
          <w:lang w:eastAsia="zh-CN"/>
        </w:rPr>
        <w:t>质保期内</w:t>
      </w:r>
      <w:r>
        <w:rPr>
          <w:rFonts w:hint="eastAsia" w:ascii="华文楷体" w:hAnsi="华文楷体" w:eastAsia="华文楷体" w:cs="华文楷体"/>
          <w:bCs/>
          <w:color w:val="auto"/>
          <w:kern w:val="0"/>
          <w:sz w:val="20"/>
          <w:szCs w:val="20"/>
        </w:rPr>
        <w:t>发现墙体材料存在质量不符合标准规范、违法违规、不符合本合同要求等情况的，均有权要求乙方更换货物</w:t>
      </w:r>
      <w:r>
        <w:rPr>
          <w:rFonts w:hint="eastAsia" w:ascii="华文楷体" w:hAnsi="华文楷体" w:eastAsia="华文楷体" w:cs="华文楷体"/>
          <w:bCs/>
          <w:color w:val="auto"/>
          <w:kern w:val="0"/>
          <w:sz w:val="20"/>
          <w:szCs w:val="20"/>
          <w:lang w:eastAsia="zh-CN"/>
        </w:rPr>
        <w:t>、</w:t>
      </w:r>
      <w:r>
        <w:rPr>
          <w:rFonts w:hint="eastAsia" w:ascii="华文楷体" w:hAnsi="华文楷体" w:eastAsia="华文楷体" w:cs="华文楷体"/>
          <w:bCs/>
          <w:color w:val="auto"/>
          <w:kern w:val="0"/>
          <w:sz w:val="20"/>
          <w:szCs w:val="20"/>
        </w:rPr>
        <w:t>退货</w:t>
      </w:r>
      <w:r>
        <w:rPr>
          <w:rFonts w:hint="eastAsia" w:ascii="华文楷体" w:hAnsi="华文楷体" w:eastAsia="华文楷体" w:cs="华文楷体"/>
          <w:bCs/>
          <w:color w:val="auto"/>
          <w:kern w:val="0"/>
          <w:sz w:val="20"/>
          <w:szCs w:val="20"/>
          <w:lang w:eastAsia="zh-CN"/>
        </w:rPr>
        <w:t>退款或折价处理</w:t>
      </w:r>
      <w:r>
        <w:rPr>
          <w:rFonts w:hint="eastAsia" w:ascii="华文楷体" w:hAnsi="华文楷体" w:eastAsia="华文楷体" w:cs="华文楷体"/>
          <w:bCs/>
          <w:color w:val="auto"/>
          <w:kern w:val="0"/>
          <w:sz w:val="20"/>
          <w:szCs w:val="20"/>
        </w:rPr>
        <w:t>，并承担当批次墙体材料货款</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%的违约金</w:t>
      </w:r>
      <w:r>
        <w:rPr>
          <w:rFonts w:hint="eastAsia" w:ascii="华文楷体" w:hAnsi="华文楷体" w:eastAsia="华文楷体" w:cs="华文楷体"/>
          <w:bCs/>
          <w:color w:val="auto"/>
          <w:kern w:val="0"/>
          <w:sz w:val="20"/>
          <w:szCs w:val="20"/>
          <w:lang w:eastAsia="zh-CN"/>
        </w:rPr>
        <w:t>及</w:t>
      </w:r>
      <w:r>
        <w:rPr>
          <w:rFonts w:hint="eastAsia" w:ascii="华文楷体" w:hAnsi="华文楷体" w:eastAsia="华文楷体" w:cs="华文楷体"/>
          <w:bCs/>
          <w:color w:val="auto"/>
          <w:kern w:val="0"/>
          <w:sz w:val="20"/>
          <w:szCs w:val="20"/>
        </w:rPr>
        <w:t>赔偿相应经济损失。</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.2.5乙方擅自将权利义务转让的，甲方有权追究乙方的违约责任。</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8.2.6乙方未应按合同要求确认供货对账表及相关洽商的，影响付款、供货，</w:t>
      </w:r>
      <w:r>
        <w:rPr>
          <w:rFonts w:hint="eastAsia" w:ascii="华文楷体" w:hAnsi="华文楷体" w:eastAsia="华文楷体" w:cs="华文楷体"/>
          <w:bCs/>
          <w:color w:val="auto"/>
          <w:kern w:val="0"/>
          <w:sz w:val="20"/>
          <w:szCs w:val="20"/>
        </w:rPr>
        <w:t>应该承担相应的赔偿责任。</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8</w:t>
      </w:r>
      <w:r>
        <w:rPr>
          <w:rFonts w:hint="eastAsia" w:ascii="华文楷体" w:hAnsi="华文楷体" w:eastAsia="华文楷体" w:cs="华文楷体"/>
          <w:bCs/>
          <w:color w:val="auto"/>
          <w:kern w:val="0"/>
          <w:sz w:val="20"/>
          <w:szCs w:val="20"/>
        </w:rPr>
        <w:t>.2.</w:t>
      </w:r>
      <w:r>
        <w:rPr>
          <w:rFonts w:hint="eastAsia" w:ascii="华文楷体" w:hAnsi="华文楷体" w:eastAsia="华文楷体" w:cs="华文楷体"/>
          <w:bCs/>
          <w:color w:val="auto"/>
          <w:kern w:val="0"/>
          <w:sz w:val="20"/>
          <w:szCs w:val="20"/>
          <w:lang w:val="en-US" w:eastAsia="zh-CN"/>
        </w:rPr>
        <w:t>7</w:t>
      </w:r>
      <w:r>
        <w:rPr>
          <w:rFonts w:hint="eastAsia" w:ascii="华文楷体" w:hAnsi="华文楷体" w:eastAsia="华文楷体" w:cs="华文楷体"/>
          <w:bCs/>
          <w:color w:val="auto"/>
          <w:kern w:val="0"/>
          <w:sz w:val="20"/>
          <w:szCs w:val="20"/>
        </w:rPr>
        <w:t xml:space="preserve"> 乙方未按合同约定履行其他义务给甲方造成损失的，应该承担相应的赔偿责任。</w:t>
      </w:r>
    </w:p>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r>
        <w:rPr>
          <w:rFonts w:hint="eastAsia" w:ascii="华文楷体" w:hAnsi="华文楷体" w:eastAsia="华文楷体" w:cs="华文楷体"/>
          <w:b/>
          <w:bCs/>
          <w:color w:val="auto"/>
          <w:kern w:val="0"/>
          <w:sz w:val="20"/>
          <w:szCs w:val="20"/>
          <w:lang w:eastAsia="zh-CN"/>
        </w:rPr>
        <w:t>合同的</w:t>
      </w:r>
      <w:r>
        <w:rPr>
          <w:rFonts w:hint="eastAsia" w:ascii="华文楷体" w:hAnsi="华文楷体" w:eastAsia="华文楷体" w:cs="华文楷体"/>
          <w:b/>
          <w:bCs/>
          <w:color w:val="auto"/>
          <w:kern w:val="0"/>
          <w:sz w:val="20"/>
          <w:szCs w:val="20"/>
        </w:rPr>
        <w:t xml:space="preserve">变更 </w:t>
      </w:r>
    </w:p>
    <w:p>
      <w:pPr>
        <w:pStyle w:val="16"/>
        <w:spacing w:line="264" w:lineRule="auto"/>
        <w:ind w:firstLine="400"/>
        <w:rPr>
          <w:rFonts w:hint="default"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9</w:t>
      </w:r>
      <w:r>
        <w:rPr>
          <w:rFonts w:hint="default" w:ascii="华文楷体" w:hAnsi="华文楷体" w:eastAsia="华文楷体" w:cs="华文楷体"/>
          <w:bCs/>
          <w:color w:val="auto"/>
          <w:kern w:val="0"/>
          <w:sz w:val="20"/>
          <w:szCs w:val="20"/>
        </w:rPr>
        <w:t>.1甲</w:t>
      </w:r>
      <w:r>
        <w:rPr>
          <w:rFonts w:hint="default" w:ascii="华文楷体" w:hAnsi="华文楷体" w:eastAsia="华文楷体" w:cs="华文楷体"/>
          <w:bCs/>
          <w:color w:val="auto"/>
          <w:kern w:val="0"/>
          <w:sz w:val="20"/>
          <w:szCs w:val="20"/>
          <w:lang w:eastAsia="zh-CN"/>
        </w:rPr>
        <w:t>乙双</w:t>
      </w:r>
      <w:r>
        <w:rPr>
          <w:rFonts w:hint="default" w:ascii="华文楷体" w:hAnsi="华文楷体" w:eastAsia="华文楷体" w:cs="华文楷体"/>
          <w:bCs/>
          <w:color w:val="auto"/>
          <w:kern w:val="0"/>
          <w:sz w:val="20"/>
          <w:szCs w:val="20"/>
        </w:rPr>
        <w:t>方如需对本合同</w:t>
      </w:r>
      <w:r>
        <w:rPr>
          <w:rFonts w:hint="default" w:ascii="华文楷体" w:hAnsi="华文楷体" w:eastAsia="华文楷体" w:cs="华文楷体"/>
          <w:bCs/>
          <w:color w:val="auto"/>
          <w:kern w:val="0"/>
          <w:sz w:val="20"/>
          <w:szCs w:val="20"/>
          <w:lang w:eastAsia="zh-CN"/>
        </w:rPr>
        <w:t>内容</w:t>
      </w:r>
      <w:r>
        <w:rPr>
          <w:rFonts w:hint="default" w:ascii="华文楷体" w:hAnsi="华文楷体" w:eastAsia="华文楷体" w:cs="华文楷体"/>
          <w:bCs/>
          <w:color w:val="auto"/>
          <w:kern w:val="0"/>
          <w:sz w:val="20"/>
          <w:szCs w:val="20"/>
        </w:rPr>
        <w:t>进行变更，</w:t>
      </w:r>
      <w:r>
        <w:rPr>
          <w:rFonts w:ascii="华文楷体" w:hAnsi="华文楷体" w:eastAsia="华文楷体" w:cs="华文楷体"/>
          <w:bCs/>
          <w:i w:val="0"/>
          <w:caps w:val="0"/>
          <w:color w:val="333333"/>
          <w:spacing w:val="0"/>
          <w:kern w:val="0"/>
          <w:sz w:val="20"/>
          <w:szCs w:val="20"/>
          <w:shd w:val="clear" w:fill="auto"/>
          <w:lang w:val="en-US" w:eastAsia="zh-CN" w:bidi="ar"/>
        </w:rPr>
        <w:t>应通过友好协商达成一致，并以书面形式</w:t>
      </w:r>
      <w:r>
        <w:rPr>
          <w:rFonts w:hint="default" w:ascii="华文楷体" w:hAnsi="华文楷体" w:eastAsia="华文楷体" w:cs="华文楷体"/>
          <w:bCs/>
          <w:color w:val="auto"/>
          <w:kern w:val="0"/>
          <w:sz w:val="20"/>
          <w:szCs w:val="20"/>
        </w:rPr>
        <w:t>签订</w:t>
      </w:r>
      <w:r>
        <w:rPr>
          <w:rFonts w:hint="eastAsia" w:ascii="华文楷体" w:hAnsi="华文楷体" w:eastAsia="华文楷体" w:cs="华文楷体"/>
          <w:b w:val="0"/>
          <w:bCs w:val="0"/>
          <w:color w:val="auto"/>
          <w:kern w:val="0"/>
          <w:sz w:val="20"/>
          <w:szCs w:val="20"/>
          <w:lang w:eastAsia="zh-CN"/>
        </w:rPr>
        <w:t>变更</w:t>
      </w:r>
      <w:r>
        <w:rPr>
          <w:rFonts w:hint="default" w:ascii="华文楷体" w:hAnsi="华文楷体" w:eastAsia="华文楷体" w:cs="华文楷体"/>
          <w:b w:val="0"/>
          <w:bCs w:val="0"/>
          <w:color w:val="auto"/>
          <w:kern w:val="0"/>
          <w:sz w:val="20"/>
          <w:szCs w:val="20"/>
        </w:rPr>
        <w:t>协议</w:t>
      </w:r>
      <w:r>
        <w:rPr>
          <w:rFonts w:hint="default" w:ascii="华文楷体" w:hAnsi="华文楷体" w:eastAsia="华文楷体" w:cs="华文楷体"/>
          <w:bCs/>
          <w:color w:val="auto"/>
          <w:kern w:val="0"/>
          <w:sz w:val="20"/>
          <w:szCs w:val="20"/>
        </w:rPr>
        <w:t>。</w:t>
      </w:r>
    </w:p>
    <w:p>
      <w:pPr>
        <w:spacing w:line="264" w:lineRule="auto"/>
        <w:ind w:firstLine="400" w:firstLineChars="200"/>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lang w:val="en-US" w:eastAsia="zh-CN"/>
        </w:rPr>
        <w:t>9</w:t>
      </w:r>
      <w:r>
        <w:rPr>
          <w:rFonts w:hint="eastAsia" w:ascii="华文楷体" w:hAnsi="华文楷体" w:eastAsia="华文楷体" w:cs="华文楷体"/>
          <w:color w:val="auto"/>
          <w:sz w:val="20"/>
          <w:szCs w:val="20"/>
        </w:rPr>
        <w:t>.2若</w:t>
      </w:r>
      <w:r>
        <w:rPr>
          <w:rFonts w:hint="eastAsia" w:ascii="华文楷体" w:hAnsi="华文楷体" w:eastAsia="华文楷体" w:cs="华文楷体"/>
          <w:color w:val="auto"/>
          <w:sz w:val="20"/>
          <w:szCs w:val="20"/>
          <w:lang w:eastAsia="zh-CN"/>
        </w:rPr>
        <w:t>甲乙双方授权</w:t>
      </w:r>
      <w:r>
        <w:rPr>
          <w:rFonts w:hint="eastAsia" w:ascii="华文楷体" w:hAnsi="华文楷体" w:eastAsia="华文楷体" w:cs="华文楷体"/>
          <w:color w:val="auto"/>
          <w:sz w:val="20"/>
          <w:szCs w:val="20"/>
          <w:lang w:val="en-US" w:eastAsia="zh-CN"/>
        </w:rPr>
        <w:t>业务联络</w:t>
      </w:r>
      <w:r>
        <w:rPr>
          <w:rFonts w:hint="eastAsia" w:ascii="华文楷体" w:hAnsi="华文楷体" w:eastAsia="华文楷体" w:cs="华文楷体"/>
          <w:color w:val="auto"/>
          <w:sz w:val="20"/>
          <w:szCs w:val="20"/>
        </w:rPr>
        <w:t>人出现变更，则变更的一方应当在变更当日向对方提供变更后的</w:t>
      </w:r>
      <w:r>
        <w:rPr>
          <w:rFonts w:hint="eastAsia" w:ascii="华文楷体" w:hAnsi="华文楷体" w:eastAsia="华文楷体" w:cs="华文楷体"/>
          <w:color w:val="auto"/>
          <w:sz w:val="20"/>
          <w:szCs w:val="20"/>
          <w:lang w:val="en-US" w:eastAsia="zh-CN"/>
        </w:rPr>
        <w:t>业务联络</w:t>
      </w:r>
      <w:r>
        <w:rPr>
          <w:rFonts w:hint="eastAsia" w:ascii="华文楷体" w:hAnsi="华文楷体" w:eastAsia="华文楷体" w:cs="华文楷体"/>
          <w:color w:val="auto"/>
          <w:sz w:val="20"/>
          <w:szCs w:val="20"/>
        </w:rPr>
        <w:t>人授权书以及姓名、联系电话、身份证号、签字笔记等相关信息。</w:t>
      </w:r>
    </w:p>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r>
        <w:rPr>
          <w:rFonts w:hint="eastAsia" w:ascii="华文楷体" w:hAnsi="华文楷体" w:eastAsia="华文楷体" w:cs="华文楷体"/>
          <w:b/>
          <w:bCs/>
          <w:color w:val="auto"/>
          <w:kern w:val="0"/>
          <w:sz w:val="20"/>
          <w:szCs w:val="20"/>
        </w:rPr>
        <w:t>合同的解除</w:t>
      </w:r>
    </w:p>
    <w:p>
      <w:pPr>
        <w:pStyle w:val="16"/>
        <w:numPr>
          <w:ilvl w:val="1"/>
          <w:numId w:val="4"/>
        </w:numPr>
        <w:spacing w:line="520" w:lineRule="exact"/>
        <w:ind w:left="0" w:firstLine="567" w:firstLineChars="0"/>
        <w:rPr>
          <w:rFonts w:hint="eastAsia" w:ascii="仿宋_GB2312" w:hAnsi="仿宋_GB2312" w:eastAsia="仿宋_GB2312" w:cs="仿宋_GB2312"/>
          <w:vanish/>
          <w:color w:val="auto"/>
          <w:sz w:val="24"/>
        </w:rPr>
      </w:pP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10</w:t>
      </w:r>
      <w:r>
        <w:rPr>
          <w:rFonts w:hint="eastAsia" w:ascii="华文楷体" w:hAnsi="华文楷体" w:eastAsia="华文楷体" w:cs="华文楷体"/>
          <w:bCs/>
          <w:color w:val="auto"/>
          <w:kern w:val="0"/>
          <w:sz w:val="20"/>
          <w:szCs w:val="20"/>
        </w:rPr>
        <w:t>.1经双方协商一致，可以解除本合同。</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10</w:t>
      </w:r>
      <w:r>
        <w:rPr>
          <w:rFonts w:hint="eastAsia" w:ascii="华文楷体" w:hAnsi="华文楷体" w:eastAsia="华文楷体" w:cs="华文楷体"/>
          <w:bCs/>
          <w:color w:val="auto"/>
          <w:kern w:val="0"/>
          <w:sz w:val="20"/>
          <w:szCs w:val="20"/>
        </w:rPr>
        <w:t>.2因不可抗力导致合同目的无法实现的，任何一方可以解除本合同。</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10</w:t>
      </w:r>
      <w:r>
        <w:rPr>
          <w:rFonts w:hint="default" w:ascii="华文楷体" w:hAnsi="华文楷体" w:eastAsia="华文楷体" w:cs="华文楷体"/>
          <w:bCs/>
          <w:color w:val="auto"/>
          <w:kern w:val="0"/>
          <w:sz w:val="20"/>
          <w:szCs w:val="20"/>
        </w:rPr>
        <w:t>.</w:t>
      </w:r>
      <w:r>
        <w:rPr>
          <w:rFonts w:hint="eastAsia" w:ascii="华文楷体" w:hAnsi="华文楷体" w:eastAsia="华文楷体" w:cs="华文楷体"/>
          <w:bCs/>
          <w:color w:val="auto"/>
          <w:kern w:val="0"/>
          <w:sz w:val="20"/>
          <w:szCs w:val="20"/>
          <w:lang w:val="en-US" w:eastAsia="zh-CN"/>
        </w:rPr>
        <w:t>3</w:t>
      </w:r>
      <w:r>
        <w:rPr>
          <w:rFonts w:hint="default" w:ascii="华文楷体" w:hAnsi="华文楷体" w:eastAsia="华文楷体" w:cs="华文楷体"/>
          <w:bCs/>
          <w:color w:val="auto"/>
          <w:kern w:val="0"/>
          <w:sz w:val="20"/>
          <w:szCs w:val="20"/>
        </w:rPr>
        <w:t>出现下列情形时</w:t>
      </w:r>
      <w:r>
        <w:rPr>
          <w:rFonts w:hint="default" w:ascii="华文楷体" w:hAnsi="华文楷体" w:eastAsia="华文楷体" w:cs="华文楷体"/>
          <w:bCs/>
          <w:color w:val="auto"/>
          <w:kern w:val="0"/>
          <w:sz w:val="20"/>
          <w:szCs w:val="20"/>
          <w:lang w:eastAsia="zh-CN"/>
        </w:rPr>
        <w:t>，</w:t>
      </w:r>
      <w:r>
        <w:rPr>
          <w:rFonts w:hint="default" w:ascii="华文楷体" w:hAnsi="华文楷体" w:eastAsia="华文楷体" w:cs="华文楷体"/>
          <w:bCs/>
          <w:color w:val="auto"/>
          <w:kern w:val="0"/>
          <w:sz w:val="20"/>
          <w:szCs w:val="20"/>
        </w:rPr>
        <w:t>守约方可以解除本合同：</w:t>
      </w:r>
      <w:r>
        <w:rPr>
          <w:rFonts w:hint="default" w:ascii="华文楷体" w:hAnsi="华文楷体" w:eastAsia="华文楷体" w:cs="华文楷体"/>
          <w:bCs/>
          <w:color w:val="auto"/>
          <w:kern w:val="0"/>
          <w:sz w:val="20"/>
          <w:szCs w:val="20"/>
          <w:u w:val="single"/>
        </w:rPr>
        <w:t xml:space="preserve">                  </w:t>
      </w:r>
      <w:r>
        <w:rPr>
          <w:rFonts w:hint="default" w:ascii="华文楷体" w:hAnsi="华文楷体" w:eastAsia="华文楷体" w:cs="华文楷体"/>
          <w:bCs/>
          <w:color w:val="auto"/>
          <w:kern w:val="0"/>
          <w:sz w:val="20"/>
          <w:szCs w:val="20"/>
        </w:rPr>
        <w:t>。</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lang w:val="en-US" w:eastAsia="zh-CN"/>
        </w:rPr>
        <w:t>10</w:t>
      </w:r>
      <w:r>
        <w:rPr>
          <w:rFonts w:hint="eastAsia" w:ascii="华文楷体" w:hAnsi="华文楷体" w:eastAsia="华文楷体" w:cs="华文楷体"/>
          <w:bCs/>
          <w:color w:val="auto"/>
          <w:kern w:val="0"/>
          <w:sz w:val="20"/>
          <w:szCs w:val="20"/>
        </w:rPr>
        <w:t>.</w:t>
      </w:r>
      <w:r>
        <w:rPr>
          <w:rFonts w:ascii="华文楷体" w:hAnsi="华文楷体" w:eastAsia="华文楷体" w:cs="华文楷体"/>
          <w:bCs/>
          <w:color w:val="auto"/>
          <w:kern w:val="0"/>
          <w:sz w:val="20"/>
          <w:szCs w:val="20"/>
        </w:rPr>
        <w:t>4</w:t>
      </w:r>
      <w:r>
        <w:rPr>
          <w:rFonts w:hint="eastAsia" w:ascii="华文楷体" w:hAnsi="华文楷体" w:eastAsia="华文楷体" w:cs="华文楷体"/>
          <w:bCs/>
          <w:color w:val="auto"/>
          <w:kern w:val="0"/>
          <w:sz w:val="20"/>
          <w:szCs w:val="20"/>
        </w:rPr>
        <w:t>合同一方依据本合同约定解除本合同的，解除合同的通知自送达对方之日起生效。</w:t>
      </w:r>
    </w:p>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bookmarkStart w:id="9" w:name="_Hlk106021771"/>
      <w:r>
        <w:rPr>
          <w:rFonts w:hint="eastAsia" w:ascii="华文楷体" w:hAnsi="华文楷体" w:eastAsia="华文楷体" w:cs="华文楷体"/>
          <w:b/>
          <w:bCs/>
          <w:color w:val="auto"/>
          <w:kern w:val="0"/>
          <w:sz w:val="20"/>
          <w:szCs w:val="20"/>
        </w:rPr>
        <w:t xml:space="preserve"> 不可抗力</w:t>
      </w:r>
    </w:p>
    <w:bookmarkEnd w:id="9"/>
    <w:p>
      <w:pPr>
        <w:pStyle w:val="16"/>
        <w:numPr>
          <w:ilvl w:val="0"/>
          <w:numId w:val="3"/>
        </w:numPr>
        <w:spacing w:line="520" w:lineRule="exact"/>
        <w:ind w:left="0" w:firstLine="567" w:firstLineChars="0"/>
        <w:rPr>
          <w:rFonts w:hint="eastAsia" w:ascii="仿宋_GB2312" w:hAnsi="仿宋_GB2312" w:eastAsia="仿宋_GB2312" w:cs="仿宋_GB2312"/>
          <w:vanish/>
          <w:color w:val="auto"/>
          <w:sz w:val="24"/>
        </w:rPr>
      </w:pP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1</w:t>
      </w:r>
      <w:r>
        <w:rPr>
          <w:rFonts w:hint="eastAsia" w:ascii="华文楷体" w:hAnsi="华文楷体" w:eastAsia="华文楷体" w:cs="华文楷体"/>
          <w:bCs/>
          <w:color w:val="auto"/>
          <w:kern w:val="0"/>
          <w:sz w:val="20"/>
          <w:szCs w:val="20"/>
        </w:rPr>
        <w:t>.1在本合同履行过程中，不可抗力的范围包括：地震、台风、暴雨、火灾、战争、疫情，以及其他不能预见、不能避免、不能克服的客观事件。</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1</w:t>
      </w:r>
      <w:r>
        <w:rPr>
          <w:rFonts w:hint="eastAsia" w:ascii="华文楷体" w:hAnsi="华文楷体" w:eastAsia="华文楷体" w:cs="华文楷体"/>
          <w:bCs/>
          <w:color w:val="auto"/>
          <w:kern w:val="0"/>
          <w:sz w:val="20"/>
          <w:szCs w:val="20"/>
        </w:rPr>
        <w:t>.2遇有不可抗力的一方，应立即以书面形式通知另一方，并在</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日内提供不可抗力详情以及本合同不能履行或部分不能履行或需要延期履行的理由的有效证明文件，按该不可抗力事件对履行本合同的影响程度，由双方协商决定是否解除本合同，或部分免除履行本合同的义务或对本合同进行变更。</w:t>
      </w:r>
    </w:p>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bookmarkStart w:id="10" w:name="_Hlk106021794"/>
      <w:r>
        <w:rPr>
          <w:rFonts w:hint="eastAsia" w:ascii="华文楷体" w:hAnsi="华文楷体" w:eastAsia="华文楷体" w:cs="华文楷体"/>
          <w:b/>
          <w:bCs/>
          <w:color w:val="auto"/>
          <w:kern w:val="0"/>
          <w:sz w:val="20"/>
          <w:szCs w:val="20"/>
        </w:rPr>
        <w:t>通知与送达</w:t>
      </w:r>
    </w:p>
    <w:bookmarkEnd w:id="10"/>
    <w:p>
      <w:pPr>
        <w:pStyle w:val="16"/>
        <w:numPr>
          <w:ilvl w:val="0"/>
          <w:numId w:val="3"/>
        </w:numPr>
        <w:spacing w:line="520" w:lineRule="exact"/>
        <w:ind w:left="0" w:firstLine="567" w:firstLineChars="0"/>
        <w:rPr>
          <w:rFonts w:hint="eastAsia" w:ascii="仿宋_GB2312" w:hAnsi="仿宋_GB2312" w:eastAsia="仿宋_GB2312" w:cs="仿宋_GB2312"/>
          <w:vanish/>
          <w:color w:val="auto"/>
          <w:sz w:val="24"/>
        </w:rPr>
      </w:pP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2</w:t>
      </w:r>
      <w:r>
        <w:rPr>
          <w:rFonts w:hint="eastAsia" w:ascii="华文楷体" w:hAnsi="华文楷体" w:eastAsia="华文楷体" w:cs="华文楷体"/>
          <w:bCs/>
          <w:color w:val="auto"/>
          <w:kern w:val="0"/>
          <w:sz w:val="20"/>
          <w:szCs w:val="20"/>
        </w:rPr>
        <w:t>.1双方因履行本合同发出的通知、文件、资料，均按下列地址送达。</w:t>
      </w:r>
    </w:p>
    <w:p>
      <w:pPr>
        <w:pStyle w:val="16"/>
        <w:spacing w:line="264" w:lineRule="auto"/>
        <w:ind w:firstLine="400"/>
        <w:rPr>
          <w:rFonts w:hint="eastAsia" w:ascii="华文楷体" w:hAnsi="华文楷体" w:eastAsia="华文楷体" w:cs="华文楷体"/>
          <w:bCs/>
          <w:color w:val="auto"/>
          <w:kern w:val="0"/>
          <w:sz w:val="20"/>
          <w:szCs w:val="20"/>
          <w:u w:val="single"/>
        </w:rPr>
      </w:pPr>
      <w:r>
        <w:rPr>
          <w:rFonts w:hint="eastAsia" w:ascii="华文楷体" w:hAnsi="华文楷体" w:eastAsia="华文楷体" w:cs="华文楷体"/>
          <w:bCs/>
          <w:color w:val="auto"/>
          <w:kern w:val="0"/>
          <w:sz w:val="20"/>
          <w:szCs w:val="20"/>
        </w:rPr>
        <w:t>甲方：收件人</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收件地址</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联系电话</w:t>
      </w:r>
      <w:r>
        <w:rPr>
          <w:rFonts w:hint="eastAsia" w:ascii="华文楷体" w:hAnsi="华文楷体" w:eastAsia="华文楷体" w:cs="华文楷体"/>
          <w:bCs/>
          <w:color w:val="auto"/>
          <w:kern w:val="0"/>
          <w:sz w:val="20"/>
          <w:szCs w:val="20"/>
          <w:u w:val="single"/>
        </w:rPr>
        <w:t xml:space="preserve">             </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乙方：收件人</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收件地址</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联系电话</w:t>
      </w:r>
      <w:r>
        <w:rPr>
          <w:rFonts w:hint="eastAsia" w:ascii="华文楷体" w:hAnsi="华文楷体" w:eastAsia="华文楷体" w:cs="华文楷体"/>
          <w:bCs/>
          <w:color w:val="auto"/>
          <w:kern w:val="0"/>
          <w:sz w:val="20"/>
          <w:szCs w:val="20"/>
          <w:u w:val="single"/>
        </w:rPr>
        <w:t xml:space="preserve">             </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一方变更地址或联系人的，应当在变更后</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日内书面通知对方，否则以原地址或联系人为准。</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2</w:t>
      </w:r>
      <w:r>
        <w:rPr>
          <w:rFonts w:hint="eastAsia" w:ascii="华文楷体" w:hAnsi="华文楷体" w:eastAsia="华文楷体" w:cs="华文楷体"/>
          <w:bCs/>
          <w:color w:val="auto"/>
          <w:kern w:val="0"/>
          <w:sz w:val="20"/>
          <w:szCs w:val="20"/>
        </w:rPr>
        <w:t>.2以邮寄方式送达的，寄件人应当在邮寄详情单上注明文件名称及简要内容。</w:t>
      </w:r>
    </w:p>
    <w:p>
      <w:pPr>
        <w:pStyle w:val="16"/>
        <w:spacing w:line="264" w:lineRule="auto"/>
        <w:ind w:firstLine="400"/>
        <w:rPr>
          <w:rFonts w:hint="eastAsia" w:ascii="华文楷体" w:hAnsi="华文楷体" w:eastAsia="华文楷体" w:cs="华文楷体"/>
          <w:bCs/>
          <w:strike/>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2</w:t>
      </w:r>
      <w:r>
        <w:rPr>
          <w:rFonts w:hint="eastAsia" w:ascii="华文楷体" w:hAnsi="华文楷体" w:eastAsia="华文楷体" w:cs="华文楷体"/>
          <w:bCs/>
          <w:color w:val="auto"/>
          <w:kern w:val="0"/>
          <w:sz w:val="20"/>
          <w:szCs w:val="20"/>
        </w:rPr>
        <w:t>.3以数据电文</w:t>
      </w:r>
      <w:r>
        <w:rPr>
          <w:rFonts w:hint="eastAsia" w:ascii="华文楷体" w:hAnsi="华文楷体" w:eastAsia="华文楷体" w:cs="华文楷体"/>
          <w:bCs/>
          <w:color w:val="auto"/>
          <w:kern w:val="0"/>
          <w:sz w:val="20"/>
          <w:szCs w:val="20"/>
          <w:lang w:eastAsia="zh-CN"/>
        </w:rPr>
        <w:t>（</w:t>
      </w:r>
      <w:r>
        <w:rPr>
          <w:rFonts w:hint="eastAsia" w:ascii="华文楷体" w:hAnsi="华文楷体" w:eastAsia="华文楷体" w:cs="华文楷体"/>
          <w:bCs/>
          <w:color w:val="auto"/>
          <w:kern w:val="0"/>
          <w:sz w:val="20"/>
          <w:szCs w:val="20"/>
        </w:rPr>
        <w:t>微信、短信、电子邮件</w:t>
      </w:r>
      <w:r>
        <w:rPr>
          <w:rFonts w:hint="eastAsia" w:ascii="华文楷体" w:hAnsi="华文楷体" w:eastAsia="华文楷体" w:cs="华文楷体"/>
          <w:bCs/>
          <w:color w:val="auto"/>
          <w:kern w:val="0"/>
          <w:sz w:val="20"/>
          <w:szCs w:val="20"/>
          <w:lang w:eastAsia="zh-CN"/>
        </w:rPr>
        <w:t>）</w:t>
      </w:r>
      <w:r>
        <w:rPr>
          <w:rFonts w:hint="eastAsia" w:ascii="华文楷体" w:hAnsi="华文楷体" w:eastAsia="华文楷体" w:cs="华文楷体"/>
          <w:bCs/>
          <w:color w:val="auto"/>
          <w:kern w:val="0"/>
          <w:sz w:val="20"/>
          <w:szCs w:val="20"/>
        </w:rPr>
        <w:t>方式为送达方式的，到达对方接收设备之日起或电子邮件进入对方邮箱之日起，即视为送达。</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甲方指定电子邮箱：</w:t>
      </w:r>
      <w:r>
        <w:rPr>
          <w:rFonts w:hint="eastAsia" w:ascii="华文楷体" w:hAnsi="华文楷体" w:eastAsia="华文楷体" w:cs="华文楷体"/>
          <w:bCs/>
          <w:color w:val="auto"/>
          <w:kern w:val="0"/>
          <w:sz w:val="20"/>
          <w:szCs w:val="20"/>
          <w:u w:val="single"/>
        </w:rPr>
        <w:t xml:space="preserve">                 </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甲方指定微信号：</w:t>
      </w:r>
      <w:r>
        <w:rPr>
          <w:rFonts w:hint="eastAsia" w:ascii="华文楷体" w:hAnsi="华文楷体" w:eastAsia="华文楷体" w:cs="华文楷体"/>
          <w:bCs/>
          <w:color w:val="auto"/>
          <w:kern w:val="0"/>
          <w:sz w:val="20"/>
          <w:szCs w:val="20"/>
          <w:u w:val="single"/>
        </w:rPr>
        <w:t xml:space="preserve">                   </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乙方指定电子邮箱：</w:t>
      </w:r>
      <w:r>
        <w:rPr>
          <w:rFonts w:hint="eastAsia" w:ascii="华文楷体" w:hAnsi="华文楷体" w:eastAsia="华文楷体" w:cs="华文楷体"/>
          <w:bCs/>
          <w:color w:val="auto"/>
          <w:kern w:val="0"/>
          <w:sz w:val="20"/>
          <w:szCs w:val="20"/>
          <w:u w:val="single"/>
        </w:rPr>
        <w:t xml:space="preserve">                 </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乙方指定微信号：</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 xml:space="preserve"> </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2</w:t>
      </w:r>
      <w:r>
        <w:rPr>
          <w:rFonts w:hint="eastAsia" w:ascii="华文楷体" w:hAnsi="华文楷体" w:eastAsia="华文楷体" w:cs="华文楷体"/>
          <w:bCs/>
          <w:color w:val="auto"/>
          <w:kern w:val="0"/>
          <w:sz w:val="20"/>
          <w:szCs w:val="20"/>
        </w:rPr>
        <w:t>.4双方约定自送达之日起</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日内以数据电文或书面方式予以答复，逾期未答复的，视为同意对方要求。</w:t>
      </w:r>
    </w:p>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bookmarkStart w:id="11" w:name="_Hlk106021802"/>
      <w:r>
        <w:rPr>
          <w:rFonts w:hint="eastAsia" w:ascii="华文楷体" w:hAnsi="华文楷体" w:eastAsia="华文楷体" w:cs="华文楷体"/>
          <w:b/>
          <w:bCs/>
          <w:color w:val="auto"/>
          <w:kern w:val="0"/>
          <w:sz w:val="20"/>
          <w:szCs w:val="20"/>
        </w:rPr>
        <w:t xml:space="preserve"> 争议解决方式</w:t>
      </w:r>
    </w:p>
    <w:bookmarkEnd w:id="11"/>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i w:val="0"/>
          <w:caps w:val="0"/>
          <w:color w:val="auto"/>
          <w:spacing w:val="0"/>
          <w:kern w:val="0"/>
          <w:sz w:val="20"/>
          <w:szCs w:val="20"/>
          <w:shd w:val="clear"/>
          <w:lang w:val="en-US" w:eastAsia="zh-CN" w:bidi="ar-SA"/>
        </w:rPr>
        <w:t>本合同项下发生的民事争议，由双方协商解决，或向</w:t>
      </w:r>
      <w:r>
        <w:rPr>
          <w:rFonts w:hint="eastAsia" w:ascii="华文楷体" w:hAnsi="华文楷体" w:eastAsia="华文楷体" w:cs="华文楷体"/>
          <w:bCs/>
          <w:i w:val="0"/>
          <w:caps w:val="0"/>
          <w:color w:val="auto"/>
          <w:spacing w:val="0"/>
          <w:kern w:val="0"/>
          <w:sz w:val="20"/>
          <w:szCs w:val="20"/>
          <w:u w:val="single"/>
          <w:shd w:val="clear"/>
          <w:lang w:val="en-US" w:eastAsia="zh-CN" w:bidi="ar-SA"/>
        </w:rPr>
        <w:t xml:space="preserve">                </w:t>
      </w:r>
      <w:r>
        <w:rPr>
          <w:rFonts w:hint="eastAsia" w:ascii="华文楷体" w:hAnsi="华文楷体" w:eastAsia="华文楷体" w:cs="华文楷体"/>
          <w:bCs/>
          <w:i w:val="0"/>
          <w:caps w:val="0"/>
          <w:color w:val="auto"/>
          <w:spacing w:val="0"/>
          <w:kern w:val="0"/>
          <w:sz w:val="20"/>
          <w:szCs w:val="20"/>
          <w:shd w:val="clear"/>
          <w:lang w:val="en-US" w:eastAsia="zh-CN" w:bidi="ar-SA"/>
        </w:rPr>
        <w:t>部门申请调解解决；协商解决或调解解决不成的，按照下列第</w:t>
      </w:r>
      <w:r>
        <w:rPr>
          <w:rFonts w:hint="eastAsia" w:ascii="华文楷体" w:hAnsi="华文楷体" w:eastAsia="华文楷体" w:cs="华文楷体"/>
          <w:bCs/>
          <w:i w:val="0"/>
          <w:caps w:val="0"/>
          <w:color w:val="auto"/>
          <w:spacing w:val="0"/>
          <w:kern w:val="0"/>
          <w:sz w:val="20"/>
          <w:szCs w:val="20"/>
          <w:u w:val="single"/>
          <w:shd w:val="clear"/>
          <w:lang w:val="en-US" w:eastAsia="zh-CN" w:bidi="ar-SA"/>
        </w:rPr>
        <w:t xml:space="preserve">     </w:t>
      </w:r>
      <w:r>
        <w:rPr>
          <w:rFonts w:hint="eastAsia" w:ascii="华文楷体" w:hAnsi="华文楷体" w:eastAsia="华文楷体" w:cs="华文楷体"/>
          <w:bCs/>
          <w:i w:val="0"/>
          <w:caps w:val="0"/>
          <w:color w:val="auto"/>
          <w:spacing w:val="0"/>
          <w:kern w:val="0"/>
          <w:sz w:val="20"/>
          <w:szCs w:val="20"/>
          <w:shd w:val="clear"/>
          <w:lang w:val="en-US" w:eastAsia="zh-CN" w:bidi="ar-SA"/>
        </w:rPr>
        <w:t>种方式解决：</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3</w:t>
      </w:r>
      <w:r>
        <w:rPr>
          <w:rFonts w:hint="eastAsia" w:ascii="华文楷体" w:hAnsi="华文楷体" w:eastAsia="华文楷体" w:cs="华文楷体"/>
          <w:bCs/>
          <w:color w:val="auto"/>
          <w:kern w:val="0"/>
          <w:sz w:val="20"/>
          <w:szCs w:val="20"/>
        </w:rPr>
        <w:t>.1向</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人民法院提起诉讼。</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3</w:t>
      </w:r>
      <w:r>
        <w:rPr>
          <w:rFonts w:hint="eastAsia" w:ascii="华文楷体" w:hAnsi="华文楷体" w:eastAsia="华文楷体" w:cs="华文楷体"/>
          <w:bCs/>
          <w:color w:val="auto"/>
          <w:kern w:val="0"/>
          <w:sz w:val="20"/>
          <w:szCs w:val="20"/>
        </w:rPr>
        <w:t>.2向</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仲裁委员会申请仲裁。</w:t>
      </w:r>
    </w:p>
    <w:p>
      <w:pPr>
        <w:pStyle w:val="16"/>
        <w:spacing w:line="264" w:lineRule="auto"/>
        <w:ind w:firstLine="400"/>
        <w:rPr>
          <w:rFonts w:hint="eastAsia" w:ascii="华文楷体" w:hAnsi="华文楷体" w:eastAsia="华文楷体" w:cs="华文楷体"/>
          <w:bCs/>
          <w:color w:val="auto"/>
          <w:kern w:val="0"/>
          <w:sz w:val="20"/>
          <w:szCs w:val="20"/>
        </w:rPr>
      </w:pPr>
      <w:bookmarkStart w:id="12" w:name="_Hlk154405352"/>
      <w:r>
        <w:rPr>
          <w:rFonts w:hint="eastAsia" w:ascii="华文楷体" w:hAnsi="华文楷体" w:eastAsia="华文楷体" w:cs="华文楷体"/>
          <w:bCs/>
          <w:color w:val="auto"/>
          <w:kern w:val="0"/>
          <w:sz w:val="20"/>
          <w:szCs w:val="20"/>
        </w:rPr>
        <w:t>双方确认本合同第</w:t>
      </w:r>
      <w:r>
        <w:rPr>
          <w:rFonts w:hint="eastAsia" w:ascii="华文楷体" w:hAnsi="华文楷体" w:eastAsia="华文楷体" w:cs="华文楷体"/>
          <w:bCs/>
          <w:color w:val="auto"/>
          <w:kern w:val="0"/>
          <w:sz w:val="20"/>
          <w:szCs w:val="20"/>
          <w:lang w:eastAsia="zh-CN"/>
        </w:rPr>
        <w:t>十二</w:t>
      </w:r>
      <w:r>
        <w:rPr>
          <w:rFonts w:hint="eastAsia" w:ascii="华文楷体" w:hAnsi="华文楷体" w:eastAsia="华文楷体" w:cs="华文楷体"/>
          <w:bCs/>
          <w:color w:val="auto"/>
          <w:kern w:val="0"/>
          <w:sz w:val="20"/>
          <w:szCs w:val="20"/>
        </w:rPr>
        <w:t>条载明的送达方式亦作为相关司法文书的有效送达方式。</w:t>
      </w:r>
    </w:p>
    <w:bookmarkEnd w:id="12"/>
    <w:p>
      <w:pPr>
        <w:pStyle w:val="15"/>
        <w:numPr>
          <w:ilvl w:val="0"/>
          <w:numId w:val="1"/>
        </w:numPr>
        <w:spacing w:line="264" w:lineRule="auto"/>
        <w:ind w:firstLineChars="0"/>
        <w:rPr>
          <w:rFonts w:hint="eastAsia" w:ascii="华文楷体" w:hAnsi="华文楷体" w:eastAsia="华文楷体" w:cs="华文楷体"/>
          <w:b/>
          <w:bCs/>
          <w:color w:val="auto"/>
          <w:kern w:val="0"/>
          <w:sz w:val="20"/>
          <w:szCs w:val="20"/>
        </w:rPr>
      </w:pPr>
      <w:bookmarkStart w:id="13" w:name="_Hlk106021809"/>
      <w:r>
        <w:rPr>
          <w:rFonts w:hint="eastAsia" w:ascii="华文楷体" w:hAnsi="华文楷体" w:eastAsia="华文楷体" w:cs="华文楷体"/>
          <w:b/>
          <w:bCs/>
          <w:color w:val="auto"/>
          <w:kern w:val="0"/>
          <w:sz w:val="20"/>
          <w:szCs w:val="20"/>
        </w:rPr>
        <w:t>其他事项</w:t>
      </w:r>
    </w:p>
    <w:bookmarkEnd w:id="13"/>
    <w:p>
      <w:pPr>
        <w:pStyle w:val="16"/>
        <w:numPr>
          <w:ilvl w:val="0"/>
          <w:numId w:val="5"/>
        </w:numPr>
        <w:spacing w:line="520" w:lineRule="exact"/>
        <w:ind w:left="0" w:firstLine="567" w:firstLineChars="0"/>
        <w:rPr>
          <w:rFonts w:hint="eastAsia" w:ascii="仿宋_GB2312" w:hAnsi="仿宋_GB2312" w:eastAsia="仿宋_GB2312" w:cs="仿宋_GB2312"/>
          <w:vanish/>
          <w:color w:val="auto"/>
          <w:sz w:val="24"/>
        </w:rPr>
      </w:pPr>
    </w:p>
    <w:p>
      <w:pPr>
        <w:pStyle w:val="16"/>
        <w:numPr>
          <w:ilvl w:val="0"/>
          <w:numId w:val="5"/>
        </w:numPr>
        <w:spacing w:line="520" w:lineRule="exact"/>
        <w:ind w:left="0" w:firstLine="567" w:firstLineChars="0"/>
        <w:rPr>
          <w:rFonts w:hint="eastAsia" w:ascii="仿宋_GB2312" w:hAnsi="仿宋_GB2312" w:eastAsia="仿宋_GB2312" w:cs="仿宋_GB2312"/>
          <w:vanish/>
          <w:color w:val="auto"/>
          <w:sz w:val="24"/>
        </w:rPr>
      </w:pP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4</w:t>
      </w:r>
      <w:r>
        <w:rPr>
          <w:rFonts w:hint="eastAsia" w:ascii="华文楷体" w:hAnsi="华文楷体" w:eastAsia="华文楷体" w:cs="华文楷体"/>
          <w:bCs/>
          <w:color w:val="auto"/>
          <w:kern w:val="0"/>
          <w:sz w:val="20"/>
          <w:szCs w:val="20"/>
        </w:rPr>
        <w:t>.1本合同未尽事宜，经双方协商一致签订补充协议。</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4</w:t>
      </w:r>
      <w:r>
        <w:rPr>
          <w:rFonts w:hint="eastAsia" w:ascii="华文楷体" w:hAnsi="华文楷体" w:eastAsia="华文楷体" w:cs="华文楷体"/>
          <w:bCs/>
          <w:color w:val="auto"/>
          <w:kern w:val="0"/>
          <w:sz w:val="20"/>
          <w:szCs w:val="20"/>
        </w:rPr>
        <w:t>.2如果合同签约人不是法定代表人，应当提交授权委托书及委托代理人身份证复印件。</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4</w:t>
      </w:r>
      <w:r>
        <w:rPr>
          <w:rFonts w:hint="eastAsia" w:ascii="华文楷体" w:hAnsi="华文楷体" w:eastAsia="华文楷体" w:cs="华文楷体"/>
          <w:bCs/>
          <w:color w:val="auto"/>
          <w:kern w:val="0"/>
          <w:sz w:val="20"/>
          <w:szCs w:val="20"/>
        </w:rPr>
        <w:t>.3本合同履行期间，未经</w:t>
      </w:r>
      <w:r>
        <w:rPr>
          <w:rFonts w:hint="eastAsia" w:ascii="华文楷体" w:hAnsi="华文楷体" w:eastAsia="华文楷体" w:cs="华文楷体"/>
          <w:bCs/>
          <w:color w:val="auto"/>
          <w:kern w:val="0"/>
          <w:sz w:val="20"/>
          <w:szCs w:val="20"/>
          <w:lang w:val="en-US" w:eastAsia="zh-CN"/>
        </w:rPr>
        <w:t>另一方同意</w:t>
      </w:r>
      <w:r>
        <w:rPr>
          <w:rFonts w:hint="eastAsia" w:ascii="华文楷体" w:hAnsi="华文楷体" w:eastAsia="华文楷体" w:cs="华文楷体"/>
          <w:bCs/>
          <w:color w:val="auto"/>
          <w:kern w:val="0"/>
          <w:sz w:val="20"/>
          <w:szCs w:val="20"/>
        </w:rPr>
        <w:t>不得将甲方施工现场及乙方墙体材料生产场所相关影音资料向第三方泄露。</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4</w:t>
      </w:r>
      <w:r>
        <w:rPr>
          <w:rFonts w:hint="eastAsia" w:ascii="华文楷体" w:hAnsi="华文楷体" w:eastAsia="华文楷体" w:cs="华文楷体"/>
          <w:bCs/>
          <w:color w:val="auto"/>
          <w:kern w:val="0"/>
          <w:sz w:val="20"/>
          <w:szCs w:val="20"/>
        </w:rPr>
        <w:t>.4其他约定：</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1</w:t>
      </w:r>
      <w:r>
        <w:rPr>
          <w:rFonts w:hint="eastAsia" w:ascii="华文楷体" w:hAnsi="华文楷体" w:eastAsia="华文楷体" w:cs="华文楷体"/>
          <w:bCs/>
          <w:color w:val="auto"/>
          <w:kern w:val="0"/>
          <w:sz w:val="20"/>
          <w:szCs w:val="20"/>
          <w:lang w:val="en-US" w:eastAsia="zh-CN"/>
        </w:rPr>
        <w:t>4</w:t>
      </w:r>
      <w:r>
        <w:rPr>
          <w:rFonts w:hint="eastAsia" w:ascii="华文楷体" w:hAnsi="华文楷体" w:eastAsia="华文楷体" w:cs="华文楷体"/>
          <w:bCs/>
          <w:color w:val="auto"/>
          <w:kern w:val="0"/>
          <w:sz w:val="20"/>
          <w:szCs w:val="20"/>
        </w:rPr>
        <w:t>.5本合同自双方法定代表人或委托代理人签字并加盖公章之日起生效。本合同一式</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份，甲方执</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份，乙方执</w:t>
      </w:r>
      <w:r>
        <w:rPr>
          <w:rFonts w:hint="eastAsia" w:ascii="华文楷体" w:hAnsi="华文楷体" w:eastAsia="华文楷体" w:cs="华文楷体"/>
          <w:bCs/>
          <w:color w:val="auto"/>
          <w:kern w:val="0"/>
          <w:sz w:val="20"/>
          <w:szCs w:val="20"/>
          <w:u w:val="single"/>
        </w:rPr>
        <w:t xml:space="preserve">   </w:t>
      </w:r>
      <w:r>
        <w:rPr>
          <w:rFonts w:hint="eastAsia" w:ascii="华文楷体" w:hAnsi="华文楷体" w:eastAsia="华文楷体" w:cs="华文楷体"/>
          <w:bCs/>
          <w:color w:val="auto"/>
          <w:kern w:val="0"/>
          <w:sz w:val="20"/>
          <w:szCs w:val="20"/>
        </w:rPr>
        <w:t>份，具有同等法律效力。</w:t>
      </w:r>
    </w:p>
    <w:p>
      <w:pPr>
        <w:pStyle w:val="16"/>
        <w:spacing w:line="264" w:lineRule="auto"/>
        <w:ind w:firstLine="400"/>
        <w:rPr>
          <w:rFonts w:hint="eastAsia" w:ascii="华文楷体" w:hAnsi="华文楷体" w:eastAsia="华文楷体" w:cs="华文楷体"/>
          <w:bCs/>
          <w:color w:val="auto"/>
          <w:kern w:val="0"/>
          <w:sz w:val="20"/>
          <w:szCs w:val="20"/>
        </w:rPr>
      </w:pPr>
    </w:p>
    <w:p>
      <w:pPr>
        <w:pStyle w:val="15"/>
        <w:spacing w:line="264" w:lineRule="auto"/>
        <w:ind w:firstLine="0" w:firstLineChars="0"/>
        <w:rPr>
          <w:rFonts w:hint="eastAsia" w:ascii="华文楷体" w:hAnsi="华文楷体" w:eastAsia="华文楷体" w:cs="华文楷体"/>
          <w:b/>
          <w:bCs/>
          <w:color w:val="auto"/>
          <w:kern w:val="0"/>
          <w:sz w:val="20"/>
          <w:szCs w:val="20"/>
        </w:rPr>
      </w:pPr>
      <w:bookmarkStart w:id="14" w:name="_Hlk106021818"/>
      <w:r>
        <w:rPr>
          <w:rFonts w:hint="eastAsia" w:ascii="华文楷体" w:hAnsi="华文楷体" w:eastAsia="华文楷体" w:cs="华文楷体"/>
          <w:b/>
          <w:bCs/>
          <w:color w:val="auto"/>
          <w:kern w:val="0"/>
          <w:sz w:val="20"/>
          <w:szCs w:val="20"/>
        </w:rPr>
        <w:t>合同附件</w:t>
      </w:r>
    </w:p>
    <w:bookmarkEnd w:id="14"/>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附件</w:t>
      </w:r>
      <w:bookmarkStart w:id="15" w:name="_Hlk106021824"/>
      <w:r>
        <w:rPr>
          <w:rFonts w:hint="eastAsia" w:ascii="华文楷体" w:hAnsi="华文楷体" w:eastAsia="华文楷体" w:cs="华文楷体"/>
          <w:bCs/>
          <w:color w:val="auto"/>
          <w:kern w:val="0"/>
          <w:sz w:val="20"/>
          <w:szCs w:val="20"/>
          <w:lang w:val="en-US" w:eastAsia="zh-CN"/>
        </w:rPr>
        <w:t xml:space="preserve"> </w:t>
      </w:r>
      <w:r>
        <w:rPr>
          <w:rFonts w:hint="eastAsia" w:ascii="华文楷体" w:hAnsi="华文楷体" w:eastAsia="华文楷体" w:cs="华文楷体"/>
          <w:bCs/>
          <w:color w:val="auto"/>
          <w:kern w:val="0"/>
          <w:sz w:val="20"/>
          <w:szCs w:val="20"/>
        </w:rPr>
        <w:t>墙体材料供货对账表</w:t>
      </w:r>
    </w:p>
    <w:p>
      <w:pP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br w:type="page"/>
      </w:r>
    </w:p>
    <w:bookmarkEnd w:id="15"/>
    <w:p>
      <w:pPr>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（以下无正文，仅为签订信息）</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甲方（盖章）：                      乙方（盖章）：</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住所：                              住所：</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法定代表人：                        法定代表人：</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电话：                              电话：</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委托代理人：                        委托代理人：</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电话：                              电话：</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开户银行：                          开户银行：</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账号：                              账号：</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税务登记证号：                      税务登记证号：</w:t>
      </w:r>
    </w:p>
    <w:p>
      <w:pPr>
        <w:pStyle w:val="16"/>
        <w:spacing w:line="264" w:lineRule="auto"/>
        <w:ind w:firstLine="400"/>
        <w:rPr>
          <w:rFonts w:hint="eastAsia" w:ascii="华文楷体" w:hAnsi="华文楷体" w:eastAsia="华文楷体" w:cs="华文楷体"/>
          <w:bCs/>
          <w:color w:val="auto"/>
          <w:kern w:val="0"/>
          <w:sz w:val="20"/>
          <w:szCs w:val="20"/>
        </w:rPr>
      </w:pPr>
      <w:r>
        <w:rPr>
          <w:rFonts w:hint="eastAsia" w:ascii="华文楷体" w:hAnsi="华文楷体" w:eastAsia="华文楷体" w:cs="华文楷体"/>
          <w:bCs/>
          <w:color w:val="auto"/>
          <w:kern w:val="0"/>
          <w:sz w:val="20"/>
          <w:szCs w:val="20"/>
        </w:rPr>
        <w:t>签订时间：                          签订时间：</w:t>
      </w:r>
    </w:p>
    <w:p>
      <w:pPr>
        <w:spacing w:line="520" w:lineRule="exact"/>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widowControl/>
        <w:spacing w:line="288" w:lineRule="auto"/>
        <w:rPr>
          <w:rFonts w:hint="eastAsia" w:ascii="黑体" w:hAnsi="黑体" w:eastAsia="黑体" w:cs="黑体"/>
          <w:bCs/>
          <w:color w:val="auto"/>
          <w:kern w:val="0"/>
          <w:sz w:val="20"/>
          <w:szCs w:val="20"/>
        </w:rPr>
      </w:pPr>
      <w:bookmarkStart w:id="16" w:name="_Toc25705"/>
      <w:r>
        <w:rPr>
          <w:rFonts w:hint="eastAsia" w:ascii="黑体" w:hAnsi="黑体" w:eastAsia="黑体" w:cs="黑体"/>
          <w:bCs/>
          <w:color w:val="auto"/>
          <w:kern w:val="0"/>
          <w:sz w:val="20"/>
          <w:szCs w:val="20"/>
        </w:rPr>
        <w:t xml:space="preserve">附件  </w:t>
      </w:r>
      <w:bookmarkEnd w:id="16"/>
    </w:p>
    <w:p>
      <w:pPr>
        <w:widowControl/>
        <w:spacing w:line="288" w:lineRule="auto"/>
        <w:ind w:firstLine="720" w:firstLineChars="200"/>
        <w:jc w:val="center"/>
        <w:rPr>
          <w:rFonts w:hint="eastAsia" w:ascii="华文楷体" w:hAnsi="华文楷体" w:eastAsia="华文楷体" w:cs="华文楷体"/>
          <w:bCs/>
          <w:color w:val="auto"/>
          <w:kern w:val="0"/>
          <w:sz w:val="36"/>
          <w:szCs w:val="36"/>
        </w:rPr>
      </w:pPr>
      <w:r>
        <w:rPr>
          <w:rFonts w:hint="eastAsia" w:ascii="华文楷体" w:hAnsi="华文楷体" w:eastAsia="华文楷体" w:cs="华文楷体"/>
          <w:bCs/>
          <w:color w:val="auto"/>
          <w:kern w:val="0"/>
          <w:sz w:val="36"/>
          <w:szCs w:val="36"/>
        </w:rPr>
        <w:t>墙体材料供货对账表</w:t>
      </w:r>
      <w:r>
        <w:rPr>
          <w:rFonts w:hint="eastAsia" w:ascii="华文楷体" w:hAnsi="华文楷体" w:eastAsia="华文楷体" w:cs="华文楷体"/>
          <w:bCs/>
          <w:color w:val="auto"/>
          <w:kern w:val="0"/>
          <w:sz w:val="36"/>
          <w:szCs w:val="36"/>
          <w:lang w:val="en" w:eastAsia="zh-CN"/>
        </w:rPr>
        <w:t>（示例）</w:t>
      </w:r>
    </w:p>
    <w:p>
      <w:pPr>
        <w:keepNext w:val="0"/>
        <w:keepLines w:val="0"/>
        <w:pageBreakBefore w:val="0"/>
        <w:widowControl/>
        <w:kinsoku/>
        <w:wordWrap/>
        <w:overflowPunct/>
        <w:topLinePunct w:val="0"/>
        <w:autoSpaceDE/>
        <w:autoSpaceDN/>
        <w:bidi w:val="0"/>
        <w:adjustRightInd/>
        <w:snapToGrid/>
        <w:spacing w:line="288" w:lineRule="auto"/>
        <w:textAlignment w:val="auto"/>
        <w:rPr>
          <w:color w:val="auto"/>
        </w:rPr>
      </w:pPr>
      <w:r>
        <w:rPr>
          <w:rFonts w:hint="eastAsia" w:ascii="华文楷体" w:hAnsi="华文楷体" w:eastAsia="华文楷体" w:cs="华文仿宋"/>
          <w:color w:val="auto"/>
          <w:kern w:val="0"/>
          <w:sz w:val="20"/>
          <w:szCs w:val="20"/>
        </w:rPr>
        <w:t xml:space="preserve">工程名称：               </w:t>
      </w:r>
      <w:r>
        <w:rPr>
          <w:rFonts w:hint="eastAsia" w:ascii="华文楷体" w:hAnsi="华文楷体" w:eastAsia="华文楷体" w:cs="华文仿宋"/>
          <w:color w:val="auto"/>
          <w:kern w:val="0"/>
          <w:sz w:val="20"/>
          <w:szCs w:val="20"/>
          <w:lang w:val="en-US" w:eastAsia="zh-CN"/>
        </w:rPr>
        <w:t xml:space="preserve">                     </w:t>
      </w:r>
      <w:r>
        <w:rPr>
          <w:rFonts w:hint="eastAsia" w:ascii="华文楷体" w:hAnsi="华文楷体" w:eastAsia="华文楷体" w:cs="华文仿宋"/>
          <w:color w:val="auto"/>
          <w:kern w:val="0"/>
          <w:sz w:val="20"/>
          <w:szCs w:val="20"/>
        </w:rPr>
        <w:t>编制日期：              第  页，共  页</w:t>
      </w:r>
    </w:p>
    <w:tbl>
      <w:tblPr>
        <w:tblStyle w:val="10"/>
        <w:tblpPr w:leftFromText="181" w:rightFromText="181" w:vertAnchor="page" w:horzAnchor="page" w:tblpXSpec="center" w:tblpY="2830"/>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22"/>
        <w:gridCol w:w="1117"/>
        <w:gridCol w:w="1511"/>
        <w:gridCol w:w="1468"/>
        <w:gridCol w:w="1062"/>
        <w:gridCol w:w="126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jc w:val="center"/>
        </w:trPr>
        <w:tc>
          <w:tcPr>
            <w:tcW w:w="698" w:type="dxa"/>
            <w:noWrap/>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序号</w:t>
            </w:r>
          </w:p>
        </w:tc>
        <w:tc>
          <w:tcPr>
            <w:tcW w:w="1222" w:type="dxa"/>
            <w:noWrap/>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墙体材料</w:t>
            </w:r>
          </w:p>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名称</w:t>
            </w:r>
          </w:p>
        </w:tc>
        <w:tc>
          <w:tcPr>
            <w:tcW w:w="1117" w:type="dxa"/>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规格</w:t>
            </w:r>
          </w:p>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参数</w:t>
            </w:r>
          </w:p>
        </w:tc>
        <w:tc>
          <w:tcPr>
            <w:tcW w:w="1511" w:type="dxa"/>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本期发货数量</w:t>
            </w:r>
          </w:p>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w:t>
            </w:r>
            <w:r>
              <w:rPr>
                <w:rFonts w:hint="eastAsia" w:ascii="华文楷体" w:hAnsi="华文楷体" w:eastAsia="华文楷体" w:cs="华文仿宋"/>
                <w:color w:val="auto"/>
                <w:kern w:val="0"/>
                <w:sz w:val="20"/>
                <w:szCs w:val="20"/>
                <w:lang w:eastAsia="zh-CN"/>
              </w:rPr>
              <w:t>立方米</w:t>
            </w:r>
            <w:r>
              <w:rPr>
                <w:rFonts w:hint="eastAsia" w:ascii="华文楷体" w:hAnsi="华文楷体" w:eastAsia="华文楷体" w:cs="华文仿宋"/>
                <w:color w:val="auto"/>
                <w:kern w:val="0"/>
                <w:sz w:val="20"/>
                <w:szCs w:val="20"/>
              </w:rPr>
              <w:t>）</w:t>
            </w:r>
          </w:p>
        </w:tc>
        <w:tc>
          <w:tcPr>
            <w:tcW w:w="1468" w:type="dxa"/>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含税单价</w:t>
            </w:r>
          </w:p>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（元</w:t>
            </w:r>
            <w:r>
              <w:rPr>
                <w:rFonts w:hint="eastAsia" w:ascii="华文楷体" w:hAnsi="华文楷体" w:eastAsia="华文楷体" w:cs="华文仿宋"/>
                <w:color w:val="auto"/>
                <w:kern w:val="0"/>
                <w:sz w:val="20"/>
                <w:szCs w:val="20"/>
                <w:lang w:val="en-US" w:eastAsia="zh-CN"/>
              </w:rPr>
              <w:t>/立方米</w:t>
            </w:r>
            <w:r>
              <w:rPr>
                <w:rFonts w:hint="eastAsia" w:ascii="华文楷体" w:hAnsi="华文楷体" w:eastAsia="华文楷体" w:cs="华文仿宋"/>
                <w:color w:val="auto"/>
                <w:kern w:val="0"/>
                <w:sz w:val="20"/>
                <w:szCs w:val="20"/>
              </w:rPr>
              <w:t>）</w:t>
            </w:r>
          </w:p>
        </w:tc>
        <w:tc>
          <w:tcPr>
            <w:tcW w:w="1062" w:type="dxa"/>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本期发货</w:t>
            </w:r>
          </w:p>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金额（元）</w:t>
            </w:r>
          </w:p>
        </w:tc>
        <w:tc>
          <w:tcPr>
            <w:tcW w:w="1264" w:type="dxa"/>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本期应支付</w:t>
            </w:r>
          </w:p>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金额（元）</w:t>
            </w:r>
          </w:p>
        </w:tc>
        <w:tc>
          <w:tcPr>
            <w:tcW w:w="698" w:type="dxa"/>
            <w:noWrap/>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noWrap/>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1</w:t>
            </w:r>
          </w:p>
        </w:tc>
        <w:tc>
          <w:tcPr>
            <w:tcW w:w="1222" w:type="dxa"/>
            <w:noWrap/>
            <w:vAlign w:val="center"/>
          </w:tcPr>
          <w:p>
            <w:pPr>
              <w:widowControl/>
              <w:jc w:val="center"/>
              <w:rPr>
                <w:rFonts w:hint="eastAsia" w:ascii="华文楷体" w:hAnsi="华文楷体" w:eastAsia="华文楷体" w:cs="华文仿宋"/>
                <w:color w:val="auto"/>
                <w:kern w:val="0"/>
                <w:sz w:val="20"/>
                <w:szCs w:val="20"/>
              </w:rPr>
            </w:pPr>
          </w:p>
        </w:tc>
        <w:tc>
          <w:tcPr>
            <w:tcW w:w="1117" w:type="dxa"/>
            <w:noWrap/>
            <w:vAlign w:val="center"/>
          </w:tcPr>
          <w:p>
            <w:pPr>
              <w:widowControl/>
              <w:jc w:val="center"/>
              <w:rPr>
                <w:rFonts w:hint="eastAsia" w:ascii="华文楷体" w:hAnsi="华文楷体" w:eastAsia="华文楷体" w:cs="华文仿宋"/>
                <w:color w:val="auto"/>
                <w:kern w:val="0"/>
                <w:sz w:val="20"/>
                <w:szCs w:val="20"/>
              </w:rPr>
            </w:pPr>
          </w:p>
        </w:tc>
        <w:tc>
          <w:tcPr>
            <w:tcW w:w="1511" w:type="dxa"/>
            <w:noWrap/>
            <w:vAlign w:val="center"/>
          </w:tcPr>
          <w:p>
            <w:pPr>
              <w:widowControl/>
              <w:jc w:val="center"/>
              <w:rPr>
                <w:rFonts w:hint="eastAsia" w:ascii="华文楷体" w:hAnsi="华文楷体" w:eastAsia="华文楷体" w:cs="华文仿宋"/>
                <w:color w:val="auto"/>
                <w:kern w:val="0"/>
                <w:sz w:val="20"/>
                <w:szCs w:val="20"/>
              </w:rPr>
            </w:pPr>
          </w:p>
        </w:tc>
        <w:tc>
          <w:tcPr>
            <w:tcW w:w="1468" w:type="dxa"/>
            <w:noWrap/>
            <w:vAlign w:val="center"/>
          </w:tcPr>
          <w:p>
            <w:pPr>
              <w:widowControl/>
              <w:jc w:val="center"/>
              <w:rPr>
                <w:rFonts w:hint="eastAsia" w:ascii="华文楷体" w:hAnsi="华文楷体" w:eastAsia="华文楷体" w:cs="华文仿宋"/>
                <w:color w:val="auto"/>
                <w:kern w:val="0"/>
                <w:sz w:val="20"/>
                <w:szCs w:val="20"/>
              </w:rPr>
            </w:pPr>
          </w:p>
        </w:tc>
        <w:tc>
          <w:tcPr>
            <w:tcW w:w="1062" w:type="dxa"/>
            <w:noWrap/>
            <w:vAlign w:val="center"/>
          </w:tcPr>
          <w:p>
            <w:pPr>
              <w:widowControl/>
              <w:jc w:val="center"/>
              <w:rPr>
                <w:rFonts w:hint="eastAsia" w:ascii="华文楷体" w:hAnsi="华文楷体" w:eastAsia="华文楷体" w:cs="华文仿宋"/>
                <w:color w:val="auto"/>
                <w:kern w:val="0"/>
                <w:sz w:val="20"/>
                <w:szCs w:val="20"/>
              </w:rPr>
            </w:pPr>
          </w:p>
        </w:tc>
        <w:tc>
          <w:tcPr>
            <w:tcW w:w="1264" w:type="dxa"/>
            <w:noWrap/>
            <w:vAlign w:val="center"/>
          </w:tcPr>
          <w:p>
            <w:pPr>
              <w:widowControl/>
              <w:jc w:val="center"/>
              <w:rPr>
                <w:rFonts w:hint="eastAsia" w:ascii="华文楷体" w:hAnsi="华文楷体" w:eastAsia="华文楷体" w:cs="华文仿宋"/>
                <w:color w:val="auto"/>
                <w:kern w:val="0"/>
                <w:sz w:val="20"/>
                <w:szCs w:val="20"/>
              </w:rPr>
            </w:pPr>
          </w:p>
        </w:tc>
        <w:tc>
          <w:tcPr>
            <w:tcW w:w="698" w:type="dxa"/>
            <w:noWrap/>
            <w:vAlign w:val="center"/>
          </w:tcPr>
          <w:p>
            <w:pPr>
              <w:widowControl/>
              <w:jc w:val="center"/>
              <w:rPr>
                <w:rFonts w:hint="eastAsia" w:ascii="华文楷体" w:hAnsi="华文楷体" w:eastAsia="华文楷体" w:cs="华文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noWrap/>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2</w:t>
            </w:r>
          </w:p>
        </w:tc>
        <w:tc>
          <w:tcPr>
            <w:tcW w:w="1222" w:type="dxa"/>
            <w:noWrap/>
            <w:vAlign w:val="center"/>
          </w:tcPr>
          <w:p>
            <w:pPr>
              <w:widowControl/>
              <w:jc w:val="center"/>
              <w:rPr>
                <w:rFonts w:hint="eastAsia" w:ascii="华文楷体" w:hAnsi="华文楷体" w:eastAsia="华文楷体" w:cs="华文仿宋"/>
                <w:color w:val="auto"/>
                <w:kern w:val="0"/>
                <w:sz w:val="20"/>
                <w:szCs w:val="20"/>
              </w:rPr>
            </w:pPr>
          </w:p>
        </w:tc>
        <w:tc>
          <w:tcPr>
            <w:tcW w:w="1117" w:type="dxa"/>
            <w:noWrap/>
            <w:vAlign w:val="center"/>
          </w:tcPr>
          <w:p>
            <w:pPr>
              <w:widowControl/>
              <w:jc w:val="center"/>
              <w:rPr>
                <w:rFonts w:hint="eastAsia" w:ascii="华文楷体" w:hAnsi="华文楷体" w:eastAsia="华文楷体" w:cs="华文仿宋"/>
                <w:color w:val="auto"/>
                <w:kern w:val="0"/>
                <w:sz w:val="20"/>
                <w:szCs w:val="20"/>
              </w:rPr>
            </w:pPr>
          </w:p>
        </w:tc>
        <w:tc>
          <w:tcPr>
            <w:tcW w:w="1511" w:type="dxa"/>
            <w:noWrap/>
            <w:vAlign w:val="center"/>
          </w:tcPr>
          <w:p>
            <w:pPr>
              <w:widowControl/>
              <w:jc w:val="center"/>
              <w:rPr>
                <w:rFonts w:hint="eastAsia" w:ascii="华文楷体" w:hAnsi="华文楷体" w:eastAsia="华文楷体" w:cs="华文仿宋"/>
                <w:color w:val="auto"/>
                <w:kern w:val="0"/>
                <w:sz w:val="20"/>
                <w:szCs w:val="20"/>
              </w:rPr>
            </w:pPr>
          </w:p>
        </w:tc>
        <w:tc>
          <w:tcPr>
            <w:tcW w:w="1468" w:type="dxa"/>
            <w:noWrap/>
            <w:vAlign w:val="center"/>
          </w:tcPr>
          <w:p>
            <w:pPr>
              <w:widowControl/>
              <w:jc w:val="center"/>
              <w:rPr>
                <w:rFonts w:hint="eastAsia" w:ascii="华文楷体" w:hAnsi="华文楷体" w:eastAsia="华文楷体" w:cs="华文仿宋"/>
                <w:color w:val="auto"/>
                <w:kern w:val="0"/>
                <w:sz w:val="20"/>
                <w:szCs w:val="20"/>
              </w:rPr>
            </w:pPr>
          </w:p>
        </w:tc>
        <w:tc>
          <w:tcPr>
            <w:tcW w:w="1062" w:type="dxa"/>
            <w:noWrap/>
            <w:vAlign w:val="center"/>
          </w:tcPr>
          <w:p>
            <w:pPr>
              <w:widowControl/>
              <w:jc w:val="center"/>
              <w:rPr>
                <w:rFonts w:hint="eastAsia" w:ascii="华文楷体" w:hAnsi="华文楷体" w:eastAsia="华文楷体" w:cs="华文仿宋"/>
                <w:color w:val="auto"/>
                <w:kern w:val="0"/>
                <w:sz w:val="20"/>
                <w:szCs w:val="20"/>
              </w:rPr>
            </w:pPr>
          </w:p>
        </w:tc>
        <w:tc>
          <w:tcPr>
            <w:tcW w:w="1264" w:type="dxa"/>
            <w:noWrap/>
            <w:vAlign w:val="center"/>
          </w:tcPr>
          <w:p>
            <w:pPr>
              <w:widowControl/>
              <w:jc w:val="center"/>
              <w:rPr>
                <w:rFonts w:hint="eastAsia" w:ascii="华文楷体" w:hAnsi="华文楷体" w:eastAsia="华文楷体" w:cs="华文仿宋"/>
                <w:color w:val="auto"/>
                <w:kern w:val="0"/>
                <w:sz w:val="20"/>
                <w:szCs w:val="20"/>
              </w:rPr>
            </w:pPr>
          </w:p>
        </w:tc>
        <w:tc>
          <w:tcPr>
            <w:tcW w:w="698" w:type="dxa"/>
            <w:noWrap/>
            <w:vAlign w:val="center"/>
          </w:tcPr>
          <w:p>
            <w:pPr>
              <w:widowControl/>
              <w:jc w:val="center"/>
              <w:rPr>
                <w:rFonts w:hint="eastAsia" w:ascii="华文楷体" w:hAnsi="华文楷体" w:eastAsia="华文楷体" w:cs="华文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noWrap/>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3</w:t>
            </w:r>
          </w:p>
        </w:tc>
        <w:tc>
          <w:tcPr>
            <w:tcW w:w="1222" w:type="dxa"/>
            <w:noWrap/>
            <w:vAlign w:val="center"/>
          </w:tcPr>
          <w:p>
            <w:pPr>
              <w:widowControl/>
              <w:jc w:val="center"/>
              <w:rPr>
                <w:rFonts w:hint="eastAsia" w:ascii="华文楷体" w:hAnsi="华文楷体" w:eastAsia="华文楷体" w:cs="华文仿宋"/>
                <w:color w:val="auto"/>
                <w:kern w:val="0"/>
                <w:sz w:val="20"/>
                <w:szCs w:val="20"/>
              </w:rPr>
            </w:pPr>
          </w:p>
        </w:tc>
        <w:tc>
          <w:tcPr>
            <w:tcW w:w="1117" w:type="dxa"/>
            <w:noWrap/>
            <w:vAlign w:val="center"/>
          </w:tcPr>
          <w:p>
            <w:pPr>
              <w:widowControl/>
              <w:jc w:val="center"/>
              <w:rPr>
                <w:rFonts w:hint="eastAsia" w:ascii="华文楷体" w:hAnsi="华文楷体" w:eastAsia="华文楷体" w:cs="华文仿宋"/>
                <w:color w:val="auto"/>
                <w:kern w:val="0"/>
                <w:sz w:val="20"/>
                <w:szCs w:val="20"/>
              </w:rPr>
            </w:pPr>
          </w:p>
        </w:tc>
        <w:tc>
          <w:tcPr>
            <w:tcW w:w="1511" w:type="dxa"/>
            <w:noWrap/>
            <w:vAlign w:val="center"/>
          </w:tcPr>
          <w:p>
            <w:pPr>
              <w:widowControl/>
              <w:jc w:val="center"/>
              <w:rPr>
                <w:rFonts w:hint="eastAsia" w:ascii="华文楷体" w:hAnsi="华文楷体" w:eastAsia="华文楷体" w:cs="华文仿宋"/>
                <w:color w:val="auto"/>
                <w:kern w:val="0"/>
                <w:sz w:val="20"/>
                <w:szCs w:val="20"/>
              </w:rPr>
            </w:pPr>
          </w:p>
        </w:tc>
        <w:tc>
          <w:tcPr>
            <w:tcW w:w="1468" w:type="dxa"/>
            <w:noWrap/>
            <w:vAlign w:val="center"/>
          </w:tcPr>
          <w:p>
            <w:pPr>
              <w:widowControl/>
              <w:jc w:val="center"/>
              <w:rPr>
                <w:rFonts w:hint="eastAsia" w:ascii="华文楷体" w:hAnsi="华文楷体" w:eastAsia="华文楷体" w:cs="华文仿宋"/>
                <w:color w:val="auto"/>
                <w:kern w:val="0"/>
                <w:sz w:val="20"/>
                <w:szCs w:val="20"/>
              </w:rPr>
            </w:pPr>
          </w:p>
        </w:tc>
        <w:tc>
          <w:tcPr>
            <w:tcW w:w="1062" w:type="dxa"/>
            <w:noWrap/>
            <w:vAlign w:val="center"/>
          </w:tcPr>
          <w:p>
            <w:pPr>
              <w:widowControl/>
              <w:jc w:val="center"/>
              <w:rPr>
                <w:rFonts w:hint="eastAsia" w:ascii="华文楷体" w:hAnsi="华文楷体" w:eastAsia="华文楷体" w:cs="华文仿宋"/>
                <w:color w:val="auto"/>
                <w:kern w:val="0"/>
                <w:sz w:val="20"/>
                <w:szCs w:val="20"/>
              </w:rPr>
            </w:pPr>
          </w:p>
        </w:tc>
        <w:tc>
          <w:tcPr>
            <w:tcW w:w="1264" w:type="dxa"/>
            <w:noWrap/>
            <w:vAlign w:val="center"/>
          </w:tcPr>
          <w:p>
            <w:pPr>
              <w:widowControl/>
              <w:jc w:val="center"/>
              <w:rPr>
                <w:rFonts w:hint="eastAsia" w:ascii="华文楷体" w:hAnsi="华文楷体" w:eastAsia="华文楷体" w:cs="华文仿宋"/>
                <w:color w:val="auto"/>
                <w:kern w:val="0"/>
                <w:sz w:val="20"/>
                <w:szCs w:val="20"/>
              </w:rPr>
            </w:pPr>
          </w:p>
        </w:tc>
        <w:tc>
          <w:tcPr>
            <w:tcW w:w="698" w:type="dxa"/>
            <w:noWrap/>
            <w:vAlign w:val="center"/>
          </w:tcPr>
          <w:p>
            <w:pPr>
              <w:widowControl/>
              <w:jc w:val="center"/>
              <w:rPr>
                <w:rFonts w:hint="eastAsia" w:ascii="华文楷体" w:hAnsi="华文楷体" w:eastAsia="华文楷体" w:cs="华文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noWrap/>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w:t>
            </w:r>
          </w:p>
        </w:tc>
        <w:tc>
          <w:tcPr>
            <w:tcW w:w="1222" w:type="dxa"/>
            <w:noWrap/>
            <w:vAlign w:val="center"/>
          </w:tcPr>
          <w:p>
            <w:pPr>
              <w:widowControl/>
              <w:jc w:val="center"/>
              <w:rPr>
                <w:rFonts w:hint="eastAsia" w:ascii="华文楷体" w:hAnsi="华文楷体" w:eastAsia="华文楷体" w:cs="华文仿宋"/>
                <w:color w:val="auto"/>
                <w:kern w:val="0"/>
                <w:sz w:val="20"/>
                <w:szCs w:val="20"/>
              </w:rPr>
            </w:pPr>
          </w:p>
        </w:tc>
        <w:tc>
          <w:tcPr>
            <w:tcW w:w="1117" w:type="dxa"/>
            <w:noWrap/>
            <w:vAlign w:val="center"/>
          </w:tcPr>
          <w:p>
            <w:pPr>
              <w:widowControl/>
              <w:jc w:val="center"/>
              <w:rPr>
                <w:rFonts w:hint="eastAsia" w:ascii="华文楷体" w:hAnsi="华文楷体" w:eastAsia="华文楷体" w:cs="华文仿宋"/>
                <w:color w:val="auto"/>
                <w:kern w:val="0"/>
                <w:sz w:val="20"/>
                <w:szCs w:val="20"/>
              </w:rPr>
            </w:pPr>
          </w:p>
        </w:tc>
        <w:tc>
          <w:tcPr>
            <w:tcW w:w="1511" w:type="dxa"/>
            <w:noWrap/>
            <w:vAlign w:val="center"/>
          </w:tcPr>
          <w:p>
            <w:pPr>
              <w:widowControl/>
              <w:jc w:val="center"/>
              <w:rPr>
                <w:rFonts w:hint="eastAsia" w:ascii="华文楷体" w:hAnsi="华文楷体" w:eastAsia="华文楷体" w:cs="华文仿宋"/>
                <w:color w:val="auto"/>
                <w:kern w:val="0"/>
                <w:sz w:val="20"/>
                <w:szCs w:val="20"/>
              </w:rPr>
            </w:pPr>
          </w:p>
        </w:tc>
        <w:tc>
          <w:tcPr>
            <w:tcW w:w="1468" w:type="dxa"/>
            <w:noWrap/>
            <w:vAlign w:val="center"/>
          </w:tcPr>
          <w:p>
            <w:pPr>
              <w:widowControl/>
              <w:jc w:val="center"/>
              <w:rPr>
                <w:rFonts w:hint="eastAsia" w:ascii="华文楷体" w:hAnsi="华文楷体" w:eastAsia="华文楷体" w:cs="华文仿宋"/>
                <w:color w:val="auto"/>
                <w:kern w:val="0"/>
                <w:sz w:val="20"/>
                <w:szCs w:val="20"/>
              </w:rPr>
            </w:pPr>
          </w:p>
        </w:tc>
        <w:tc>
          <w:tcPr>
            <w:tcW w:w="1062" w:type="dxa"/>
            <w:noWrap/>
            <w:vAlign w:val="center"/>
          </w:tcPr>
          <w:p>
            <w:pPr>
              <w:widowControl/>
              <w:jc w:val="center"/>
              <w:rPr>
                <w:rFonts w:hint="eastAsia" w:ascii="华文楷体" w:hAnsi="华文楷体" w:eastAsia="华文楷体" w:cs="华文仿宋"/>
                <w:color w:val="auto"/>
                <w:kern w:val="0"/>
                <w:sz w:val="20"/>
                <w:szCs w:val="20"/>
              </w:rPr>
            </w:pPr>
          </w:p>
        </w:tc>
        <w:tc>
          <w:tcPr>
            <w:tcW w:w="1264" w:type="dxa"/>
            <w:noWrap/>
            <w:vAlign w:val="center"/>
          </w:tcPr>
          <w:p>
            <w:pPr>
              <w:widowControl/>
              <w:jc w:val="center"/>
              <w:rPr>
                <w:rFonts w:hint="eastAsia" w:ascii="华文楷体" w:hAnsi="华文楷体" w:eastAsia="华文楷体" w:cs="华文仿宋"/>
                <w:color w:val="auto"/>
                <w:kern w:val="0"/>
                <w:sz w:val="20"/>
                <w:szCs w:val="20"/>
              </w:rPr>
            </w:pPr>
          </w:p>
        </w:tc>
        <w:tc>
          <w:tcPr>
            <w:tcW w:w="698" w:type="dxa"/>
            <w:noWrap/>
            <w:vAlign w:val="center"/>
          </w:tcPr>
          <w:p>
            <w:pPr>
              <w:widowControl/>
              <w:jc w:val="center"/>
              <w:rPr>
                <w:rFonts w:hint="eastAsia" w:ascii="华文楷体" w:hAnsi="华文楷体" w:eastAsia="华文楷体" w:cs="华文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8" w:type="dxa"/>
            <w:noWrap/>
            <w:vAlign w:val="center"/>
          </w:tcPr>
          <w:p>
            <w:pPr>
              <w:widowControl/>
              <w:jc w:val="center"/>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合计</w:t>
            </w:r>
          </w:p>
        </w:tc>
        <w:tc>
          <w:tcPr>
            <w:tcW w:w="1222" w:type="dxa"/>
            <w:noWrap/>
            <w:vAlign w:val="center"/>
          </w:tcPr>
          <w:p>
            <w:pPr>
              <w:widowControl/>
              <w:jc w:val="center"/>
              <w:rPr>
                <w:rFonts w:hint="eastAsia" w:ascii="华文楷体" w:hAnsi="华文楷体" w:eastAsia="华文楷体" w:cs="华文仿宋"/>
                <w:color w:val="auto"/>
                <w:kern w:val="0"/>
                <w:sz w:val="20"/>
                <w:szCs w:val="20"/>
              </w:rPr>
            </w:pPr>
          </w:p>
        </w:tc>
        <w:tc>
          <w:tcPr>
            <w:tcW w:w="1117" w:type="dxa"/>
            <w:noWrap/>
            <w:vAlign w:val="center"/>
          </w:tcPr>
          <w:p>
            <w:pPr>
              <w:widowControl/>
              <w:jc w:val="center"/>
              <w:rPr>
                <w:rFonts w:hint="eastAsia" w:ascii="华文楷体" w:hAnsi="华文楷体" w:eastAsia="华文楷体" w:cs="华文仿宋"/>
                <w:color w:val="auto"/>
                <w:kern w:val="0"/>
                <w:sz w:val="20"/>
                <w:szCs w:val="20"/>
              </w:rPr>
            </w:pPr>
          </w:p>
        </w:tc>
        <w:tc>
          <w:tcPr>
            <w:tcW w:w="1511" w:type="dxa"/>
            <w:noWrap/>
            <w:vAlign w:val="center"/>
          </w:tcPr>
          <w:p>
            <w:pPr>
              <w:widowControl/>
              <w:jc w:val="center"/>
              <w:rPr>
                <w:rFonts w:hint="eastAsia" w:ascii="华文楷体" w:hAnsi="华文楷体" w:eastAsia="华文楷体" w:cs="华文仿宋"/>
                <w:color w:val="auto"/>
                <w:kern w:val="0"/>
                <w:sz w:val="20"/>
                <w:szCs w:val="20"/>
              </w:rPr>
            </w:pPr>
          </w:p>
        </w:tc>
        <w:tc>
          <w:tcPr>
            <w:tcW w:w="1468" w:type="dxa"/>
            <w:noWrap/>
            <w:vAlign w:val="center"/>
          </w:tcPr>
          <w:p>
            <w:pPr>
              <w:widowControl/>
              <w:jc w:val="center"/>
              <w:rPr>
                <w:rFonts w:hint="eastAsia" w:ascii="华文楷体" w:hAnsi="华文楷体" w:eastAsia="华文楷体" w:cs="华文仿宋"/>
                <w:color w:val="auto"/>
                <w:kern w:val="0"/>
                <w:sz w:val="20"/>
                <w:szCs w:val="20"/>
              </w:rPr>
            </w:pPr>
          </w:p>
        </w:tc>
        <w:tc>
          <w:tcPr>
            <w:tcW w:w="1062" w:type="dxa"/>
            <w:noWrap/>
            <w:vAlign w:val="center"/>
          </w:tcPr>
          <w:p>
            <w:pPr>
              <w:widowControl/>
              <w:jc w:val="center"/>
              <w:rPr>
                <w:rFonts w:hint="eastAsia" w:ascii="华文楷体" w:hAnsi="华文楷体" w:eastAsia="华文楷体" w:cs="华文仿宋"/>
                <w:color w:val="auto"/>
                <w:kern w:val="0"/>
                <w:sz w:val="20"/>
                <w:szCs w:val="20"/>
              </w:rPr>
            </w:pPr>
          </w:p>
        </w:tc>
        <w:tc>
          <w:tcPr>
            <w:tcW w:w="1264" w:type="dxa"/>
            <w:noWrap/>
            <w:vAlign w:val="center"/>
          </w:tcPr>
          <w:p>
            <w:pPr>
              <w:widowControl/>
              <w:jc w:val="center"/>
              <w:rPr>
                <w:rFonts w:hint="eastAsia" w:ascii="华文楷体" w:hAnsi="华文楷体" w:eastAsia="华文楷体" w:cs="华文仿宋"/>
                <w:color w:val="auto"/>
                <w:kern w:val="0"/>
                <w:sz w:val="20"/>
                <w:szCs w:val="20"/>
              </w:rPr>
            </w:pPr>
          </w:p>
        </w:tc>
        <w:tc>
          <w:tcPr>
            <w:tcW w:w="698" w:type="dxa"/>
            <w:noWrap/>
            <w:vAlign w:val="center"/>
          </w:tcPr>
          <w:p>
            <w:pPr>
              <w:widowControl/>
              <w:jc w:val="center"/>
              <w:rPr>
                <w:rFonts w:hint="eastAsia" w:ascii="华文楷体" w:hAnsi="华文楷体" w:eastAsia="华文楷体" w:cs="华文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jc w:val="center"/>
        </w:trPr>
        <w:tc>
          <w:tcPr>
            <w:tcW w:w="9040" w:type="dxa"/>
            <w:gridSpan w:val="8"/>
            <w:tcBorders>
              <w:bottom w:val="single" w:color="auto" w:sz="4" w:space="0"/>
            </w:tcBorders>
            <w:noWrap/>
            <w:vAlign w:val="center"/>
          </w:tcPr>
          <w:p>
            <w:pPr>
              <w:widowControl/>
              <w:jc w:val="left"/>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 xml:space="preserve">注：本对账期从 </w:t>
            </w:r>
            <w:r>
              <w:rPr>
                <w:rFonts w:hint="eastAsia" w:ascii="华文楷体" w:hAnsi="华文楷体" w:eastAsia="华文楷体" w:cs="华文仿宋"/>
                <w:color w:val="auto"/>
                <w:kern w:val="0"/>
                <w:sz w:val="20"/>
                <w:szCs w:val="20"/>
                <w:u w:val="single"/>
              </w:rPr>
              <w:t xml:space="preserve">     </w:t>
            </w:r>
            <w:r>
              <w:rPr>
                <w:rFonts w:hint="eastAsia" w:ascii="华文楷体" w:hAnsi="华文楷体" w:eastAsia="华文楷体" w:cs="华文仿宋"/>
                <w:color w:val="auto"/>
                <w:kern w:val="0"/>
                <w:sz w:val="20"/>
                <w:szCs w:val="20"/>
              </w:rPr>
              <w:t>年</w:t>
            </w:r>
            <w:r>
              <w:rPr>
                <w:rFonts w:hint="eastAsia" w:ascii="华文楷体" w:hAnsi="华文楷体" w:eastAsia="华文楷体" w:cs="华文仿宋"/>
                <w:color w:val="auto"/>
                <w:kern w:val="0"/>
                <w:sz w:val="20"/>
                <w:szCs w:val="20"/>
                <w:u w:val="single"/>
              </w:rPr>
              <w:t xml:space="preserve">    </w:t>
            </w:r>
            <w:r>
              <w:rPr>
                <w:rFonts w:hint="eastAsia" w:ascii="华文楷体" w:hAnsi="华文楷体" w:eastAsia="华文楷体" w:cs="华文仿宋"/>
                <w:color w:val="auto"/>
                <w:kern w:val="0"/>
                <w:sz w:val="20"/>
                <w:szCs w:val="20"/>
              </w:rPr>
              <w:t>月</w:t>
            </w:r>
            <w:r>
              <w:rPr>
                <w:rFonts w:hint="eastAsia" w:ascii="华文楷体" w:hAnsi="华文楷体" w:eastAsia="华文楷体" w:cs="华文仿宋"/>
                <w:color w:val="auto"/>
                <w:kern w:val="0"/>
                <w:sz w:val="20"/>
                <w:szCs w:val="20"/>
                <w:u w:val="single"/>
              </w:rPr>
              <w:t xml:space="preserve">     </w:t>
            </w:r>
            <w:r>
              <w:rPr>
                <w:rFonts w:hint="eastAsia" w:ascii="华文楷体" w:hAnsi="华文楷体" w:eastAsia="华文楷体" w:cs="华文仿宋"/>
                <w:color w:val="auto"/>
                <w:kern w:val="0"/>
                <w:sz w:val="20"/>
                <w:szCs w:val="20"/>
              </w:rPr>
              <w:t>日至</w:t>
            </w:r>
            <w:r>
              <w:rPr>
                <w:rFonts w:hint="eastAsia" w:ascii="华文楷体" w:hAnsi="华文楷体" w:eastAsia="华文楷体" w:cs="华文仿宋"/>
                <w:color w:val="auto"/>
                <w:kern w:val="0"/>
                <w:sz w:val="20"/>
                <w:szCs w:val="20"/>
                <w:u w:val="single"/>
              </w:rPr>
              <w:t xml:space="preserve">     </w:t>
            </w:r>
            <w:r>
              <w:rPr>
                <w:rFonts w:hint="eastAsia" w:ascii="华文楷体" w:hAnsi="华文楷体" w:eastAsia="华文楷体" w:cs="华文仿宋"/>
                <w:color w:val="auto"/>
                <w:kern w:val="0"/>
                <w:sz w:val="20"/>
                <w:szCs w:val="20"/>
              </w:rPr>
              <w:t>年</w:t>
            </w:r>
            <w:r>
              <w:rPr>
                <w:rFonts w:hint="eastAsia" w:ascii="华文楷体" w:hAnsi="华文楷体" w:eastAsia="华文楷体" w:cs="华文仿宋"/>
                <w:color w:val="auto"/>
                <w:kern w:val="0"/>
                <w:sz w:val="20"/>
                <w:szCs w:val="20"/>
                <w:u w:val="single"/>
              </w:rPr>
              <w:t xml:space="preserve">    </w:t>
            </w:r>
            <w:r>
              <w:rPr>
                <w:rFonts w:hint="eastAsia" w:ascii="华文楷体" w:hAnsi="华文楷体" w:eastAsia="华文楷体" w:cs="华文仿宋"/>
                <w:color w:val="auto"/>
                <w:kern w:val="0"/>
                <w:sz w:val="20"/>
                <w:szCs w:val="20"/>
              </w:rPr>
              <w:t>月</w:t>
            </w:r>
            <w:r>
              <w:rPr>
                <w:rFonts w:hint="eastAsia" w:ascii="华文楷体" w:hAnsi="华文楷体" w:eastAsia="华文楷体" w:cs="华文仿宋"/>
                <w:color w:val="auto"/>
                <w:kern w:val="0"/>
                <w:sz w:val="20"/>
                <w:szCs w:val="20"/>
                <w:u w:val="single"/>
              </w:rPr>
              <w:t xml:space="preserve">    </w:t>
            </w:r>
            <w:r>
              <w:rPr>
                <w:rFonts w:hint="eastAsia" w:ascii="华文楷体" w:hAnsi="华文楷体" w:eastAsia="华文楷体" w:cs="华文仿宋"/>
                <w:color w:val="auto"/>
                <w:kern w:val="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9040" w:type="dxa"/>
            <w:gridSpan w:val="8"/>
            <w:noWrap/>
            <w:vAlign w:val="center"/>
          </w:tcPr>
          <w:p>
            <w:pPr>
              <w:widowControl/>
              <w:spacing w:line="320" w:lineRule="exact"/>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甲    方： （盖章）                           乙    方：（盖章）</w:t>
            </w:r>
          </w:p>
          <w:p>
            <w:pPr>
              <w:widowControl/>
              <w:spacing w:line="320" w:lineRule="exact"/>
              <w:rPr>
                <w:rFonts w:hint="eastAsia" w:ascii="华文楷体" w:hAnsi="华文楷体" w:eastAsia="华文楷体" w:cs="华文仿宋"/>
                <w:color w:val="auto"/>
                <w:kern w:val="0"/>
                <w:sz w:val="20"/>
                <w:szCs w:val="20"/>
              </w:rPr>
            </w:pPr>
          </w:p>
          <w:p>
            <w:pPr>
              <w:widowControl/>
              <w:spacing w:line="320" w:lineRule="exact"/>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单位名称：                                    单位名称：</w:t>
            </w:r>
          </w:p>
          <w:p>
            <w:pPr>
              <w:widowControl/>
              <w:spacing w:line="320" w:lineRule="exact"/>
              <w:rPr>
                <w:rFonts w:hint="eastAsia" w:ascii="华文楷体" w:hAnsi="华文楷体" w:eastAsia="华文楷体" w:cs="华文仿宋"/>
                <w:color w:val="auto"/>
                <w:kern w:val="0"/>
                <w:sz w:val="20"/>
                <w:szCs w:val="20"/>
              </w:rPr>
            </w:pPr>
          </w:p>
          <w:p>
            <w:pPr>
              <w:widowControl/>
              <w:spacing w:line="320" w:lineRule="exact"/>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授权</w:t>
            </w:r>
            <w:r>
              <w:rPr>
                <w:rFonts w:hint="eastAsia" w:ascii="华文楷体" w:hAnsi="华文楷体" w:eastAsia="华文楷体" w:cs="华文仿宋"/>
                <w:color w:val="auto"/>
                <w:kern w:val="0"/>
                <w:sz w:val="20"/>
                <w:szCs w:val="20"/>
                <w:lang w:eastAsia="zh-CN"/>
              </w:rPr>
              <w:t>业务联络</w:t>
            </w:r>
            <w:r>
              <w:rPr>
                <w:rFonts w:hint="eastAsia" w:ascii="华文楷体" w:hAnsi="华文楷体" w:eastAsia="华文楷体" w:cs="华文仿宋"/>
                <w:color w:val="auto"/>
                <w:kern w:val="0"/>
                <w:sz w:val="20"/>
                <w:szCs w:val="20"/>
              </w:rPr>
              <w:t>人（签字）：                      授权</w:t>
            </w:r>
            <w:r>
              <w:rPr>
                <w:rFonts w:hint="eastAsia" w:ascii="华文楷体" w:hAnsi="华文楷体" w:eastAsia="华文楷体" w:cs="华文仿宋"/>
                <w:color w:val="auto"/>
                <w:kern w:val="0"/>
                <w:sz w:val="20"/>
                <w:szCs w:val="20"/>
                <w:lang w:eastAsia="zh-CN"/>
              </w:rPr>
              <w:t>业务联络</w:t>
            </w:r>
            <w:r>
              <w:rPr>
                <w:rFonts w:hint="eastAsia" w:ascii="华文楷体" w:hAnsi="华文楷体" w:eastAsia="华文楷体" w:cs="华文仿宋"/>
                <w:color w:val="auto"/>
                <w:kern w:val="0"/>
                <w:sz w:val="20"/>
                <w:szCs w:val="20"/>
              </w:rPr>
              <w:t>人（签字）：</w:t>
            </w:r>
          </w:p>
          <w:p>
            <w:pPr>
              <w:widowControl/>
              <w:spacing w:line="320" w:lineRule="exact"/>
              <w:rPr>
                <w:rFonts w:hint="eastAsia" w:ascii="华文楷体" w:hAnsi="华文楷体" w:eastAsia="华文楷体" w:cs="华文仿宋"/>
                <w:color w:val="auto"/>
                <w:kern w:val="0"/>
                <w:sz w:val="20"/>
                <w:szCs w:val="20"/>
              </w:rPr>
            </w:pPr>
          </w:p>
          <w:p>
            <w:pPr>
              <w:widowControl/>
              <w:spacing w:line="264" w:lineRule="auto"/>
              <w:jc w:val="left"/>
              <w:rPr>
                <w:rFonts w:hint="eastAsia" w:ascii="华文楷体" w:hAnsi="华文楷体" w:eastAsia="华文楷体" w:cs="华文仿宋"/>
                <w:color w:val="auto"/>
                <w:kern w:val="0"/>
                <w:sz w:val="20"/>
                <w:szCs w:val="20"/>
              </w:rPr>
            </w:pPr>
            <w:r>
              <w:rPr>
                <w:rFonts w:hint="eastAsia" w:ascii="华文楷体" w:hAnsi="华文楷体" w:eastAsia="华文楷体" w:cs="华文仿宋"/>
                <w:color w:val="auto"/>
                <w:kern w:val="0"/>
                <w:sz w:val="20"/>
                <w:szCs w:val="20"/>
              </w:rPr>
              <w:t>日    期：                                    日    期：</w:t>
            </w:r>
          </w:p>
        </w:tc>
      </w:tr>
    </w:tbl>
    <w:p>
      <w:pPr>
        <w:pStyle w:val="5"/>
        <w:rPr>
          <w:rFonts w:hint="eastAsia" w:ascii="华文楷体" w:hAnsi="华文楷体" w:eastAsia="华文楷体" w:cs="华文楷体"/>
          <w:bCs/>
          <w:color w:val="auto"/>
          <w:sz w:val="20"/>
          <w:szCs w:val="20"/>
        </w:rPr>
      </w:pPr>
    </w:p>
    <w:p>
      <w:pPr>
        <w:pStyle w:val="5"/>
        <w:rPr>
          <w:rFonts w:hint="eastAsia" w:ascii="华文楷体" w:hAnsi="华文楷体" w:eastAsia="华文楷体" w:cs="华文楷体"/>
          <w:bCs/>
          <w:color w:val="auto"/>
          <w:sz w:val="20"/>
          <w:szCs w:val="20"/>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311"/>
        <w:tab w:val="clear" w:pos="4153"/>
        <w:tab w:val="clear" w:pos="8306"/>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311"/>
        <w:tab w:val="clear" w:pos="4153"/>
        <w:tab w:val="clear" w:pos="8306"/>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311"/>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hint="eastAsia" w:asciiTheme="minorEastAsia" w:hAnsiTheme="minorEastAsia" w:cstheme="minorEastAsia"/>
                            </w:rPr>
                            <w:t>- 1 -</w:t>
                          </w:r>
                          <w:r>
                            <w:rPr>
                              <w:rFonts w:hint="eastAsia" w:asciiTheme="minorEastAsia" w:hAnsiTheme="minorEastAsia" w:cstheme="minor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jc w:val="center"/>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hint="eastAsia" w:asciiTheme="minorEastAsia" w:hAnsiTheme="minorEastAsia" w:cstheme="minorEastAsia"/>
                      </w:rPr>
                      <w:t>- 1 -</w:t>
                    </w:r>
                    <w:r>
                      <w:rPr>
                        <w:rFonts w:hint="eastAsia" w:asciiTheme="minorEastAsia" w:hAnsiTheme="minorEastAsia" w:cstheme="minorEastAsia"/>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B388C"/>
    <w:multiLevelType w:val="multilevel"/>
    <w:tmpl w:val="22AB388C"/>
    <w:lvl w:ilvl="0" w:tentative="0">
      <w:start w:val="8"/>
      <w:numFmt w:val="decimal"/>
      <w:lvlText w:val="%1"/>
      <w:lvlJc w:val="left"/>
      <w:pPr>
        <w:ind w:left="600" w:hanging="600"/>
      </w:pPr>
      <w:rPr>
        <w:rFonts w:hint="default"/>
      </w:rPr>
    </w:lvl>
    <w:lvl w:ilvl="1" w:tentative="0">
      <w:start w:val="3"/>
      <w:numFmt w:val="decimal"/>
      <w:lvlText w:val="%1.%2"/>
      <w:lvlJc w:val="left"/>
      <w:pPr>
        <w:ind w:left="600" w:hanging="600"/>
      </w:pPr>
      <w:rPr>
        <w:rFonts w:hint="default"/>
      </w:rPr>
    </w:lvl>
    <w:lvl w:ilvl="2" w:tentative="0">
      <w:start w:val="2"/>
      <w:numFmt w:val="decimal"/>
      <w:lvlText w:val="%1.%2.%3"/>
      <w:lvlJc w:val="left"/>
      <w:pPr>
        <w:ind w:left="1713"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260A15C2"/>
    <w:multiLevelType w:val="multilevel"/>
    <w:tmpl w:val="260A15C2"/>
    <w:lvl w:ilvl="0" w:tentative="0">
      <w:start w:val="1"/>
      <w:numFmt w:val="decimal"/>
      <w:lvlText w:val="%1"/>
      <w:lvlJc w:val="left"/>
      <w:pPr>
        <w:ind w:left="480" w:hanging="480"/>
      </w:pPr>
      <w:rPr>
        <w:rFonts w:hint="default"/>
      </w:rPr>
    </w:lvl>
    <w:lvl w:ilvl="1" w:tentative="0">
      <w:start w:val="1"/>
      <w:numFmt w:val="decimal"/>
      <w:lvlText w:val="%1.%2"/>
      <w:lvlJc w:val="left"/>
      <w:pPr>
        <w:ind w:left="720" w:hanging="720"/>
      </w:pPr>
      <w:rPr>
        <w:rFonts w:hint="default"/>
        <w:b/>
        <w:bCs/>
      </w:rPr>
    </w:lvl>
    <w:lvl w:ilvl="2" w:tentative="0">
      <w:start w:val="1"/>
      <w:numFmt w:val="decimal"/>
      <w:lvlText w:val="%1.%2.%3"/>
      <w:lvlJc w:val="left"/>
      <w:pPr>
        <w:ind w:left="720" w:hanging="720"/>
      </w:pPr>
      <w:rPr>
        <w:rFonts w:hint="default"/>
        <w:b/>
        <w:bCs/>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2">
    <w:nsid w:val="5E8B4C32"/>
    <w:multiLevelType w:val="multilevel"/>
    <w:tmpl w:val="5E8B4C32"/>
    <w:lvl w:ilvl="0" w:tentative="0">
      <w:start w:val="15"/>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72FFFDF0"/>
    <w:multiLevelType w:val="multilevel"/>
    <w:tmpl w:val="72FFFDF0"/>
    <w:lvl w:ilvl="0" w:tentative="0">
      <w:start w:val="1"/>
      <w:numFmt w:val="decimal"/>
      <w:lvlText w:val="%1"/>
      <w:lvlJc w:val="left"/>
      <w:pPr>
        <w:ind w:left="480" w:hanging="480"/>
      </w:pPr>
      <w:rPr>
        <w:rFonts w:hint="default"/>
      </w:rPr>
    </w:lvl>
    <w:lvl w:ilvl="1" w:tentative="0">
      <w:start w:val="1"/>
      <w:numFmt w:val="decimal"/>
      <w:lvlText w:val="%1.%2"/>
      <w:lvlJc w:val="left"/>
      <w:pPr>
        <w:ind w:left="557" w:hanging="557"/>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4">
    <w:nsid w:val="7FC35DDC"/>
    <w:multiLevelType w:val="singleLevel"/>
    <w:tmpl w:val="7FC35DDC"/>
    <w:lvl w:ilvl="0" w:tentative="0">
      <w:start w:val="1"/>
      <w:numFmt w:val="chineseCounting"/>
      <w:suff w:val="space"/>
      <w:lvlText w:val="第%1条"/>
      <w:lvlJc w:val="left"/>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004A3"/>
    <w:rsid w:val="00240A7E"/>
    <w:rsid w:val="00666D14"/>
    <w:rsid w:val="00760274"/>
    <w:rsid w:val="007E4A18"/>
    <w:rsid w:val="008C4FC1"/>
    <w:rsid w:val="00912A43"/>
    <w:rsid w:val="00977E45"/>
    <w:rsid w:val="00BA5FCF"/>
    <w:rsid w:val="00EE0222"/>
    <w:rsid w:val="00EE328B"/>
    <w:rsid w:val="00FF6A91"/>
    <w:rsid w:val="02257733"/>
    <w:rsid w:val="083004A3"/>
    <w:rsid w:val="09524F20"/>
    <w:rsid w:val="0CD12029"/>
    <w:rsid w:val="12B104F1"/>
    <w:rsid w:val="130B5D30"/>
    <w:rsid w:val="13AA67D2"/>
    <w:rsid w:val="16575D4E"/>
    <w:rsid w:val="17991582"/>
    <w:rsid w:val="188941A3"/>
    <w:rsid w:val="19C62362"/>
    <w:rsid w:val="1B5F6460"/>
    <w:rsid w:val="1BD1630F"/>
    <w:rsid w:val="21141C10"/>
    <w:rsid w:val="21FFA90C"/>
    <w:rsid w:val="2C7FF702"/>
    <w:rsid w:val="2DFEA564"/>
    <w:rsid w:val="2FC61E00"/>
    <w:rsid w:val="301E41BB"/>
    <w:rsid w:val="30DE5963"/>
    <w:rsid w:val="37554D5C"/>
    <w:rsid w:val="37D3BEF6"/>
    <w:rsid w:val="37FF3A23"/>
    <w:rsid w:val="38962D4E"/>
    <w:rsid w:val="38A70231"/>
    <w:rsid w:val="39D74093"/>
    <w:rsid w:val="39FF26C9"/>
    <w:rsid w:val="3D3D4D10"/>
    <w:rsid w:val="3EBA7779"/>
    <w:rsid w:val="3EF3C8CE"/>
    <w:rsid w:val="3F666FC4"/>
    <w:rsid w:val="3F6FB719"/>
    <w:rsid w:val="42B56FFA"/>
    <w:rsid w:val="46DA0645"/>
    <w:rsid w:val="47FE0FAF"/>
    <w:rsid w:val="48043D58"/>
    <w:rsid w:val="490F0B50"/>
    <w:rsid w:val="4A457794"/>
    <w:rsid w:val="4A6A7730"/>
    <w:rsid w:val="4EFB0708"/>
    <w:rsid w:val="4F3A5808"/>
    <w:rsid w:val="4F7C2E75"/>
    <w:rsid w:val="4FBF5048"/>
    <w:rsid w:val="51791565"/>
    <w:rsid w:val="526C6020"/>
    <w:rsid w:val="56FAB614"/>
    <w:rsid w:val="56FFCAB3"/>
    <w:rsid w:val="57E37F77"/>
    <w:rsid w:val="5C7B5234"/>
    <w:rsid w:val="5D323FC2"/>
    <w:rsid w:val="5D93E4FE"/>
    <w:rsid w:val="5DEEA418"/>
    <w:rsid w:val="5E0C4ECB"/>
    <w:rsid w:val="5EFE3AD0"/>
    <w:rsid w:val="5FFF8BB4"/>
    <w:rsid w:val="62D1239E"/>
    <w:rsid w:val="64B91F4E"/>
    <w:rsid w:val="66F6A007"/>
    <w:rsid w:val="696275D5"/>
    <w:rsid w:val="69E47E40"/>
    <w:rsid w:val="6BFD01CD"/>
    <w:rsid w:val="6CC52349"/>
    <w:rsid w:val="6EC84F2F"/>
    <w:rsid w:val="6FDE120F"/>
    <w:rsid w:val="6FF3E252"/>
    <w:rsid w:val="74B962D8"/>
    <w:rsid w:val="77A7BD57"/>
    <w:rsid w:val="78BB0160"/>
    <w:rsid w:val="79B7B584"/>
    <w:rsid w:val="7AEE8C09"/>
    <w:rsid w:val="7B6D776B"/>
    <w:rsid w:val="7BF754CD"/>
    <w:rsid w:val="7D99A96B"/>
    <w:rsid w:val="7DD33834"/>
    <w:rsid w:val="7ED9750D"/>
    <w:rsid w:val="7ED994B5"/>
    <w:rsid w:val="7EDF93D9"/>
    <w:rsid w:val="7EFBDD20"/>
    <w:rsid w:val="7EFDA96D"/>
    <w:rsid w:val="7EFEDDEF"/>
    <w:rsid w:val="7F5A58DA"/>
    <w:rsid w:val="7F73250C"/>
    <w:rsid w:val="7FA72557"/>
    <w:rsid w:val="7FBF7075"/>
    <w:rsid w:val="8F9D68F7"/>
    <w:rsid w:val="932F5775"/>
    <w:rsid w:val="B7D96517"/>
    <w:rsid w:val="BA7B23C6"/>
    <w:rsid w:val="BF7B64EB"/>
    <w:rsid w:val="BFB79D14"/>
    <w:rsid w:val="BFEF24A9"/>
    <w:rsid w:val="BFF3235B"/>
    <w:rsid w:val="C1FB37D3"/>
    <w:rsid w:val="C7FDE585"/>
    <w:rsid w:val="C9DE23E9"/>
    <w:rsid w:val="D2EF2BDC"/>
    <w:rsid w:val="DB3D2157"/>
    <w:rsid w:val="DDF31676"/>
    <w:rsid w:val="DE999DC5"/>
    <w:rsid w:val="E3FF23AE"/>
    <w:rsid w:val="E5EB83B8"/>
    <w:rsid w:val="E757182E"/>
    <w:rsid w:val="EB79E419"/>
    <w:rsid w:val="EF6F2B2D"/>
    <w:rsid w:val="EF75CCBF"/>
    <w:rsid w:val="EFFA19FF"/>
    <w:rsid w:val="F6FFE881"/>
    <w:rsid w:val="F79FF2EB"/>
    <w:rsid w:val="F8FFDA8C"/>
    <w:rsid w:val="FA3F418D"/>
    <w:rsid w:val="FB7C50E2"/>
    <w:rsid w:val="FBB7B2C6"/>
    <w:rsid w:val="FD17E6E0"/>
    <w:rsid w:val="FDFAE4B1"/>
    <w:rsid w:val="FEAE0D8A"/>
    <w:rsid w:val="FEDE0E43"/>
    <w:rsid w:val="FEED0FD7"/>
    <w:rsid w:val="FFEBD7CD"/>
    <w:rsid w:val="FFEF8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qFormat/>
    <w:uiPriority w:val="0"/>
    <w:pPr>
      <w:spacing w:after="140" w:line="276" w:lineRule="auto"/>
    </w:pPr>
  </w:style>
  <w:style w:type="paragraph" w:styleId="5">
    <w:name w:val="Body Text Indent 2"/>
    <w:basedOn w:val="1"/>
    <w:next w:val="1"/>
    <w:qFormat/>
    <w:uiPriority w:val="0"/>
    <w:pPr>
      <w:spacing w:after="120" w:line="480" w:lineRule="auto"/>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列表段落1"/>
    <w:basedOn w:val="1"/>
    <w:qFormat/>
    <w:uiPriority w:val="34"/>
    <w:pPr>
      <w:ind w:firstLine="420" w:firstLineChars="200"/>
    </w:pPr>
  </w:style>
  <w:style w:type="paragraph" w:styleId="16">
    <w:name w:val="List Paragraph"/>
    <w:basedOn w:val="1"/>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2"/>
    <w:link w:val="3"/>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5765</Words>
  <Characters>6042</Characters>
  <Lines>1425</Lines>
  <Paragraphs>1522</Paragraphs>
  <TotalTime>64</TotalTime>
  <ScaleCrop>false</ScaleCrop>
  <LinksUpToDate>false</LinksUpToDate>
  <CharactersWithSpaces>7912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2025-12-08T01:46:00Z</dcterms:created>
  <dc:creator>翟</dc:creator>
  <cp:lastModifiedBy>uos</cp:lastModifiedBy>
  <cp:lastPrinted>2026-04-15T06:49:00Z</cp:lastPrinted>
  <dcterms:modified xsi:type="dcterms:W3CDTF">2026-04-15T16:44:07Z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D6EAD133341D437089C23076BE6A2C91_13</vt:lpwstr>
  </property>
  <property fmtid="{D5CDD505-2E9C-101B-9397-08002B2CF9AE}" pid="4" name="KSOTemplateDocerSaveRecord">
    <vt:lpwstr>eyJoZGlkIjoiMzRmNDJlOWM5ZDI1MzFkODJjYzg0YTFkMDJjOGNhMmYiLCJ1c2VySWQiOiIxMjc1MDQ2MDIxIn0=</vt:lpwstr>
  </property>
</Properties>
</file>