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8BCD" w14:textId="77777777" w:rsidR="00E7446B" w:rsidRDefault="00000000">
      <w:pPr>
        <w:spacing w:after="0"/>
        <w:ind w:firstLineChars="0" w:firstLine="0"/>
        <w:jc w:val="left"/>
        <w:outlineLvl w:val="0"/>
        <w:rPr>
          <w:rFonts w:ascii="黑体" w:eastAsia="黑体" w:hAnsi="黑体" w:hint="eastAsia"/>
          <w:szCs w:val="32"/>
        </w:rPr>
      </w:pPr>
      <w:r>
        <w:rPr>
          <w:rFonts w:ascii="黑体" w:eastAsia="黑体" w:hAnsi="黑体"/>
          <w:szCs w:val="32"/>
        </w:rPr>
        <w:t>附件</w:t>
      </w:r>
      <w:r>
        <w:rPr>
          <w:rFonts w:ascii="黑体" w:eastAsia="黑体" w:hAnsi="黑体" w:hint="eastAsia"/>
          <w:szCs w:val="32"/>
        </w:rPr>
        <w:t>1</w:t>
      </w:r>
    </w:p>
    <w:p w14:paraId="28F116DC" w14:textId="77777777" w:rsidR="00E7446B" w:rsidRDefault="00E7446B">
      <w:pPr>
        <w:spacing w:after="0"/>
        <w:ind w:firstLineChars="0" w:firstLine="0"/>
        <w:jc w:val="center"/>
        <w:rPr>
          <w:rFonts w:ascii="方正小标宋简体" w:eastAsia="方正小标宋简体" w:hAnsi="黑体" w:hint="eastAsia"/>
          <w:sz w:val="44"/>
        </w:rPr>
      </w:pPr>
    </w:p>
    <w:p w14:paraId="4406B22A" w14:textId="77777777" w:rsidR="00E7446B" w:rsidRDefault="00000000">
      <w:pPr>
        <w:spacing w:after="0"/>
        <w:ind w:firstLineChars="0" w:firstLine="0"/>
        <w:jc w:val="center"/>
        <w:rPr>
          <w:rFonts w:ascii="方正小标宋简体" w:eastAsia="方正小标宋简体" w:hAnsi="黑体" w:hint="eastAsia"/>
          <w:sz w:val="44"/>
        </w:rPr>
      </w:pPr>
      <w:r>
        <w:rPr>
          <w:rFonts w:ascii="方正小标宋简体" w:eastAsia="方正小标宋简体" w:hAnsi="黑体" w:hint="eastAsia"/>
          <w:sz w:val="44"/>
        </w:rPr>
        <w:t>北京市市级高新技术产业开发区评价办法</w:t>
      </w:r>
    </w:p>
    <w:p w14:paraId="4FEDD098" w14:textId="77777777" w:rsidR="00E7446B" w:rsidRDefault="00000000">
      <w:pPr>
        <w:spacing w:after="0"/>
        <w:ind w:firstLineChars="0" w:firstLine="0"/>
        <w:jc w:val="center"/>
        <w:rPr>
          <w:rFonts w:ascii="楷体_GB2312" w:eastAsia="楷体_GB2312" w:hAnsi="黑体" w:hint="eastAsia"/>
          <w:szCs w:val="32"/>
        </w:rPr>
      </w:pPr>
      <w:r>
        <w:rPr>
          <w:rFonts w:ascii="楷体_GB2312" w:eastAsia="楷体_GB2312" w:hAnsi="黑体" w:hint="eastAsia"/>
          <w:szCs w:val="32"/>
        </w:rPr>
        <w:t>（试行）</w:t>
      </w:r>
    </w:p>
    <w:p w14:paraId="7168412A" w14:textId="77777777" w:rsidR="00E7446B" w:rsidRDefault="00E7446B">
      <w:pPr>
        <w:spacing w:after="0"/>
        <w:ind w:firstLine="640"/>
        <w:rPr>
          <w:rFonts w:ascii="仿宋_GB2312"/>
        </w:rPr>
      </w:pPr>
    </w:p>
    <w:p w14:paraId="4798E251"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第一章 总则</w:t>
      </w:r>
    </w:p>
    <w:p w14:paraId="4F2F1338" w14:textId="77777777" w:rsidR="00E7446B" w:rsidRDefault="00000000">
      <w:pPr>
        <w:spacing w:after="0"/>
        <w:ind w:firstLine="643"/>
        <w:rPr>
          <w:rFonts w:ascii="仿宋_GB2312"/>
        </w:rPr>
      </w:pPr>
      <w:bookmarkStart w:id="0" w:name="_Hlk211350110"/>
      <w:r>
        <w:rPr>
          <w:rFonts w:ascii="仿宋_GB2312" w:hAnsi="仿宋_GB2312" w:hint="eastAsia"/>
          <w:b/>
        </w:rPr>
        <w:t xml:space="preserve">第一条 </w:t>
      </w:r>
      <w:r>
        <w:rPr>
          <w:rFonts w:ascii="仿宋_GB2312" w:hint="eastAsia"/>
        </w:rPr>
        <w:t>为贯彻党中央、国务院关于高新技术产业开发区发展的决策部署，落实《北京市市级高新技术产业开发区管理</w:t>
      </w:r>
      <w:bookmarkEnd w:id="0"/>
      <w:r>
        <w:rPr>
          <w:rFonts w:ascii="仿宋_GB2312" w:hint="eastAsia"/>
        </w:rPr>
        <w:t>办法（试行）》有关要求，规范北京市市级高新技术产业开发区（以下简称“市级高新区”）评价工作，建立市级高新区优胜劣汰、动态调整机制，特制订本办法。</w:t>
      </w:r>
    </w:p>
    <w:p w14:paraId="5C01245B" w14:textId="77777777" w:rsidR="00E7446B" w:rsidRDefault="00000000">
      <w:pPr>
        <w:spacing w:after="0"/>
        <w:ind w:firstLine="643"/>
        <w:rPr>
          <w:rFonts w:ascii="仿宋_GB2312" w:hAnsi="仿宋_GB2312" w:hint="eastAsia"/>
        </w:rPr>
      </w:pPr>
      <w:r>
        <w:rPr>
          <w:rFonts w:ascii="仿宋_GB2312" w:hAnsi="仿宋_GB2312" w:hint="eastAsia"/>
          <w:b/>
        </w:rPr>
        <w:t xml:space="preserve">第二条 </w:t>
      </w:r>
      <w:r>
        <w:rPr>
          <w:rFonts w:ascii="仿宋_GB2312" w:hAnsi="仿宋_GB2312" w:hint="eastAsia"/>
        </w:rPr>
        <w:t>本办法适用于市级高新区评价的评价对象、指标设定、评价组织、评价应用等。</w:t>
      </w:r>
    </w:p>
    <w:p w14:paraId="32DCAF2B" w14:textId="77777777" w:rsidR="00E7446B" w:rsidRDefault="00000000">
      <w:pPr>
        <w:spacing w:after="0"/>
        <w:ind w:firstLine="643"/>
        <w:rPr>
          <w:rFonts w:ascii="仿宋_GB2312" w:hAnsi="仿宋_GB2312" w:hint="eastAsia"/>
          <w:bCs/>
        </w:rPr>
      </w:pPr>
      <w:r>
        <w:rPr>
          <w:rFonts w:ascii="仿宋_GB2312" w:hAnsi="仿宋_GB2312" w:hint="eastAsia"/>
          <w:b/>
        </w:rPr>
        <w:t xml:space="preserve">第三条 </w:t>
      </w:r>
      <w:r>
        <w:rPr>
          <w:rFonts w:ascii="仿宋_GB2312" w:hAnsi="仿宋_GB2312" w:hint="eastAsia"/>
          <w:bCs/>
        </w:rPr>
        <w:t>市级高新区评价遵循科学性、导向性、可行性原则。</w:t>
      </w:r>
    </w:p>
    <w:p w14:paraId="5738E4FA" w14:textId="77777777" w:rsidR="00E7446B" w:rsidRDefault="00000000">
      <w:pPr>
        <w:spacing w:after="0"/>
        <w:ind w:firstLine="640"/>
        <w:rPr>
          <w:rFonts w:ascii="仿宋_GB2312" w:hAnsi="仿宋_GB2312" w:hint="eastAsia"/>
          <w:bCs/>
        </w:rPr>
      </w:pPr>
      <w:r>
        <w:rPr>
          <w:rFonts w:ascii="仿宋_GB2312" w:hAnsi="仿宋_GB2312" w:hint="eastAsia"/>
          <w:bCs/>
        </w:rPr>
        <w:t>（一）科学性。评价指标注重定量和定性、总量和增量、结构和效率相结合，科学评价市级高新区发展情况。</w:t>
      </w:r>
    </w:p>
    <w:p w14:paraId="3CB53B4A" w14:textId="77777777" w:rsidR="00E7446B" w:rsidRDefault="00000000">
      <w:pPr>
        <w:spacing w:after="0"/>
        <w:ind w:firstLine="640"/>
        <w:rPr>
          <w:rFonts w:ascii="仿宋_GB2312" w:hAnsi="仿宋_GB2312" w:hint="eastAsia"/>
          <w:bCs/>
        </w:rPr>
      </w:pPr>
      <w:r>
        <w:rPr>
          <w:rFonts w:ascii="仿宋_GB2312" w:hAnsi="仿宋_GB2312" w:hint="eastAsia"/>
          <w:bCs/>
        </w:rPr>
        <w:t>（二）导向性。通过评价引导市级高新区注重提高发展质效、营造创新生态、提升土地利用效率等，进一步促进高质量发展。</w:t>
      </w:r>
    </w:p>
    <w:p w14:paraId="0FB05203" w14:textId="77777777" w:rsidR="00E7446B" w:rsidRDefault="00000000">
      <w:pPr>
        <w:spacing w:after="0"/>
        <w:ind w:firstLine="640"/>
        <w:rPr>
          <w:rFonts w:ascii="仿宋_GB2312" w:hAnsi="仿宋_GB2312" w:hint="eastAsia"/>
          <w:bCs/>
        </w:rPr>
      </w:pPr>
      <w:r>
        <w:rPr>
          <w:rFonts w:ascii="仿宋_GB2312" w:hAnsi="仿宋_GB2312" w:hint="eastAsia"/>
          <w:bCs/>
        </w:rPr>
        <w:t>（三）可行性。充分考虑统计数据的可获取性，优先选用符合统计标准，</w:t>
      </w:r>
      <w:proofErr w:type="gramStart"/>
      <w:r>
        <w:rPr>
          <w:rFonts w:ascii="仿宋_GB2312" w:hAnsi="仿宋_GB2312" w:hint="eastAsia"/>
          <w:bCs/>
        </w:rPr>
        <w:t>且数据易</w:t>
      </w:r>
      <w:proofErr w:type="gramEnd"/>
      <w:r>
        <w:rPr>
          <w:rFonts w:ascii="仿宋_GB2312" w:hAnsi="仿宋_GB2312" w:hint="eastAsia"/>
          <w:bCs/>
        </w:rPr>
        <w:t>采集、可量化、能对比的指标。</w:t>
      </w:r>
    </w:p>
    <w:p w14:paraId="7A47058B" w14:textId="77777777" w:rsidR="00E7446B" w:rsidRDefault="00000000">
      <w:pPr>
        <w:spacing w:after="0"/>
        <w:ind w:firstLine="643"/>
        <w:rPr>
          <w:rFonts w:ascii="仿宋_GB2312" w:hAnsi="仿宋_GB2312" w:hint="eastAsia"/>
          <w:bCs/>
        </w:rPr>
      </w:pPr>
      <w:r>
        <w:rPr>
          <w:rFonts w:ascii="仿宋_GB2312" w:hAnsi="仿宋_GB2312" w:hint="eastAsia"/>
          <w:b/>
        </w:rPr>
        <w:t xml:space="preserve">第四条 </w:t>
      </w:r>
      <w:r>
        <w:rPr>
          <w:rFonts w:ascii="仿宋_GB2312" w:hAnsi="仿宋_GB2312" w:hint="eastAsia"/>
          <w:bCs/>
        </w:rPr>
        <w:t>市级高新区评价分为综合评价和区块评价。综合评价以各市级高新区整体为评价对象，区块评价以各市级高新区区</w:t>
      </w:r>
      <w:r>
        <w:rPr>
          <w:rFonts w:ascii="仿宋_GB2312" w:hAnsi="仿宋_GB2312" w:hint="eastAsia"/>
          <w:bCs/>
        </w:rPr>
        <w:lastRenderedPageBreak/>
        <w:t>块为评价对象。</w:t>
      </w:r>
    </w:p>
    <w:p w14:paraId="11AC9824" w14:textId="77777777" w:rsidR="00E7446B" w:rsidRDefault="00E7446B">
      <w:pPr>
        <w:spacing w:after="0"/>
        <w:ind w:firstLine="640"/>
        <w:rPr>
          <w:rFonts w:ascii="仿宋_GB2312" w:hAnsi="仿宋_GB2312" w:hint="eastAsia"/>
          <w:bCs/>
        </w:rPr>
      </w:pPr>
    </w:p>
    <w:p w14:paraId="25554D42"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第二章 综合评价指标</w:t>
      </w:r>
    </w:p>
    <w:p w14:paraId="5481AEF2" w14:textId="77777777" w:rsidR="00E7446B" w:rsidRDefault="00000000">
      <w:pPr>
        <w:spacing w:after="0"/>
        <w:ind w:firstLine="643"/>
        <w:rPr>
          <w:rFonts w:ascii="仿宋_GB2312" w:hAnsi="仿宋_GB2312" w:hint="eastAsia"/>
          <w:bCs/>
        </w:rPr>
      </w:pPr>
      <w:r>
        <w:rPr>
          <w:rFonts w:ascii="仿宋_GB2312" w:hAnsi="仿宋_GB2312" w:hint="eastAsia"/>
          <w:b/>
        </w:rPr>
        <w:t>第五条</w:t>
      </w:r>
      <w:r>
        <w:rPr>
          <w:rFonts w:ascii="仿宋_GB2312" w:hAnsi="仿宋_GB2312" w:hint="eastAsia"/>
          <w:bCs/>
        </w:rPr>
        <w:t xml:space="preserve"> 综合评价指标</w:t>
      </w:r>
      <w:r>
        <w:rPr>
          <w:rFonts w:ascii="仿宋_GB2312" w:hint="eastAsia"/>
        </w:rPr>
        <w:t>设立</w:t>
      </w:r>
      <w:r>
        <w:rPr>
          <w:rFonts w:ascii="仿宋_GB2312" w:hint="eastAsia"/>
          <w:snapToGrid w:val="0"/>
          <w:szCs w:val="32"/>
        </w:rPr>
        <w:t>综合质效、企业培育、创新能力、生态活力、开放合作、空间利用等</w:t>
      </w:r>
      <w:r>
        <w:rPr>
          <w:rFonts w:ascii="仿宋_GB2312" w:hint="eastAsia"/>
        </w:rPr>
        <w:t>6大类一级指标、30项二级指标，同时设4项定性指标。</w:t>
      </w:r>
    </w:p>
    <w:p w14:paraId="0E216F2E" w14:textId="77777777" w:rsidR="00E7446B" w:rsidRDefault="00000000">
      <w:pPr>
        <w:spacing w:after="0"/>
        <w:ind w:firstLine="643"/>
        <w:rPr>
          <w:rFonts w:ascii="仿宋_GB2312"/>
        </w:rPr>
      </w:pPr>
      <w:r>
        <w:rPr>
          <w:rFonts w:ascii="仿宋_GB2312" w:hint="eastAsia"/>
          <w:b/>
          <w:bCs/>
        </w:rPr>
        <w:t>第六条</w:t>
      </w:r>
      <w:r>
        <w:rPr>
          <w:rFonts w:ascii="仿宋_GB2312" w:hint="eastAsia"/>
        </w:rPr>
        <w:t xml:space="preserve"> 综合质</w:t>
      </w:r>
      <w:proofErr w:type="gramStart"/>
      <w:r>
        <w:rPr>
          <w:rFonts w:ascii="仿宋_GB2312" w:hint="eastAsia"/>
        </w:rPr>
        <w:t>效重点</w:t>
      </w:r>
      <w:proofErr w:type="gramEnd"/>
      <w:r>
        <w:rPr>
          <w:rFonts w:ascii="仿宋_GB2312" w:hint="eastAsia"/>
        </w:rPr>
        <w:t>关注当年企业营业收入、地均产出、人均产出等，引导市级高新区全面提升产业发展能级</w:t>
      </w:r>
      <w:r>
        <w:rPr>
          <w:rFonts w:ascii="仿宋_GB2312"/>
        </w:rPr>
        <w:t>，切实发挥</w:t>
      </w:r>
      <w:r>
        <w:rPr>
          <w:rFonts w:ascii="仿宋_GB2312" w:hint="eastAsia"/>
        </w:rPr>
        <w:t>对</w:t>
      </w:r>
      <w:r>
        <w:rPr>
          <w:rFonts w:ascii="仿宋_GB2312"/>
        </w:rPr>
        <w:t>区域高质量发展的</w:t>
      </w:r>
      <w:r>
        <w:rPr>
          <w:rFonts w:ascii="仿宋_GB2312" w:hint="eastAsia"/>
        </w:rPr>
        <w:t>支撑</w:t>
      </w:r>
      <w:r>
        <w:rPr>
          <w:rFonts w:ascii="仿宋_GB2312"/>
        </w:rPr>
        <w:t>作用</w:t>
      </w:r>
      <w:r>
        <w:rPr>
          <w:rFonts w:ascii="仿宋_GB2312" w:hint="eastAsia"/>
        </w:rPr>
        <w:t>。</w:t>
      </w:r>
    </w:p>
    <w:p w14:paraId="33B2F574" w14:textId="77777777" w:rsidR="00E7446B" w:rsidRDefault="00000000">
      <w:pPr>
        <w:spacing w:after="0"/>
        <w:ind w:firstLine="643"/>
        <w:rPr>
          <w:rFonts w:ascii="仿宋_GB2312"/>
        </w:rPr>
      </w:pPr>
      <w:r>
        <w:rPr>
          <w:rFonts w:ascii="仿宋_GB2312" w:hint="eastAsia"/>
          <w:b/>
          <w:bCs/>
        </w:rPr>
        <w:t>第七条</w:t>
      </w:r>
      <w:r>
        <w:rPr>
          <w:rFonts w:ascii="仿宋_GB2312" w:hint="eastAsia"/>
        </w:rPr>
        <w:t xml:space="preserve"> 企业培育重点关注上市企业、独角兽企业等优质企业，以及国家高新技术企业、科技型和创新型中小企业等，引导市级高新区加强企业培育，强化企业科技创新主体地位。</w:t>
      </w:r>
    </w:p>
    <w:p w14:paraId="737F3064" w14:textId="77777777" w:rsidR="00E7446B" w:rsidRDefault="00000000">
      <w:pPr>
        <w:spacing w:after="0"/>
        <w:ind w:firstLine="643"/>
        <w:rPr>
          <w:rFonts w:ascii="仿宋_GB2312"/>
        </w:rPr>
      </w:pPr>
      <w:r>
        <w:rPr>
          <w:rFonts w:ascii="仿宋_GB2312" w:hint="eastAsia"/>
          <w:b/>
          <w:bCs/>
        </w:rPr>
        <w:t>第八条</w:t>
      </w:r>
      <w:r>
        <w:rPr>
          <w:rFonts w:ascii="仿宋_GB2312" w:hint="eastAsia"/>
        </w:rPr>
        <w:t xml:space="preserve"> 创新能力重点关注企业研发投入强度、企业发明专利拥有量等，引导市级高新区进一步推动企业加大研发投入力度，促进各</w:t>
      </w:r>
      <w:proofErr w:type="gramStart"/>
      <w:r>
        <w:rPr>
          <w:rFonts w:ascii="仿宋_GB2312" w:hint="eastAsia"/>
        </w:rPr>
        <w:t>类创新</w:t>
      </w:r>
      <w:proofErr w:type="gramEnd"/>
      <w:r>
        <w:rPr>
          <w:rFonts w:ascii="仿宋_GB2312" w:hint="eastAsia"/>
        </w:rPr>
        <w:t>要素集聚融合，持续提升创新体系效能。</w:t>
      </w:r>
    </w:p>
    <w:p w14:paraId="71705094" w14:textId="77777777" w:rsidR="00E7446B" w:rsidRDefault="00000000">
      <w:pPr>
        <w:spacing w:after="0"/>
        <w:ind w:firstLine="643"/>
        <w:rPr>
          <w:rFonts w:ascii="仿宋_GB2312"/>
        </w:rPr>
      </w:pPr>
      <w:r>
        <w:rPr>
          <w:rFonts w:ascii="仿宋_GB2312" w:hint="eastAsia"/>
          <w:b/>
          <w:bCs/>
        </w:rPr>
        <w:t>第九条</w:t>
      </w:r>
      <w:r>
        <w:rPr>
          <w:rFonts w:ascii="仿宋_GB2312" w:hint="eastAsia"/>
        </w:rPr>
        <w:t xml:space="preserve"> 生态活力重点关注科技服务机构、孵化器、创业投资机构布局情况等，引导市级高新区优化创新创业生态，提升区域创新创业活力。</w:t>
      </w:r>
    </w:p>
    <w:p w14:paraId="7CD03F77" w14:textId="25A84DFA" w:rsidR="00E7446B" w:rsidRDefault="00000000">
      <w:pPr>
        <w:spacing w:after="0"/>
        <w:ind w:firstLine="643"/>
        <w:rPr>
          <w:rFonts w:ascii="仿宋_GB2312"/>
        </w:rPr>
      </w:pPr>
      <w:r>
        <w:rPr>
          <w:rFonts w:ascii="仿宋_GB2312" w:hint="eastAsia"/>
          <w:b/>
          <w:bCs/>
        </w:rPr>
        <w:t>第十条</w:t>
      </w:r>
      <w:r>
        <w:rPr>
          <w:rFonts w:ascii="仿宋_GB2312" w:hint="eastAsia"/>
        </w:rPr>
        <w:t xml:space="preserve"> 开放合作重点关注利用外资情况、外资企业、跨国企业总部、</w:t>
      </w:r>
      <w:r w:rsidR="00466B5D">
        <w:rPr>
          <w:rFonts w:ascii="仿宋_GB2312" w:hint="eastAsia"/>
        </w:rPr>
        <w:t>国际化活动</w:t>
      </w:r>
      <w:r>
        <w:rPr>
          <w:rFonts w:ascii="仿宋_GB2312" w:hint="eastAsia"/>
        </w:rPr>
        <w:t>等，引导市级高新区提升国际化发展水平，增强全球创新资源配置能力。</w:t>
      </w:r>
    </w:p>
    <w:p w14:paraId="5C1FA241" w14:textId="77777777" w:rsidR="00E7446B" w:rsidRDefault="00000000">
      <w:pPr>
        <w:spacing w:after="0"/>
        <w:ind w:firstLine="643"/>
        <w:rPr>
          <w:rFonts w:ascii="仿宋_GB2312"/>
        </w:rPr>
      </w:pPr>
      <w:r>
        <w:rPr>
          <w:rFonts w:ascii="仿宋_GB2312" w:hint="eastAsia"/>
          <w:b/>
          <w:bCs/>
        </w:rPr>
        <w:t>第十一条</w:t>
      </w:r>
      <w:r>
        <w:rPr>
          <w:rFonts w:ascii="仿宋_GB2312" w:hint="eastAsia"/>
        </w:rPr>
        <w:t xml:space="preserve"> 空间利用重点关注土地开发利用进度、新增产业</w:t>
      </w:r>
      <w:r>
        <w:rPr>
          <w:rFonts w:ascii="仿宋_GB2312" w:hint="eastAsia"/>
        </w:rPr>
        <w:lastRenderedPageBreak/>
        <w:t>化落地项目投资额等，引导市级高新区提高土地空间利用效率，持续引进落地产业化项目。</w:t>
      </w:r>
    </w:p>
    <w:p w14:paraId="44A0725A" w14:textId="77777777" w:rsidR="00E7446B" w:rsidRDefault="00000000">
      <w:pPr>
        <w:widowControl/>
        <w:shd w:val="clear" w:color="auto" w:fill="FFFFFF"/>
        <w:spacing w:after="0"/>
        <w:ind w:firstLine="643"/>
        <w:rPr>
          <w:rFonts w:ascii="仿宋_GB2312" w:eastAsia="宋体" w:hAnsi="仿宋_GB2312" w:hint="eastAsia"/>
          <w:b/>
          <w:kern w:val="0"/>
          <w:sz w:val="24"/>
        </w:rPr>
      </w:pPr>
      <w:r>
        <w:rPr>
          <w:rFonts w:ascii="仿宋_GB2312" w:hAnsi="仿宋_GB2312" w:cs="仿宋_GB2312" w:hint="eastAsia"/>
          <w:b/>
          <w:bCs/>
          <w:kern w:val="0"/>
          <w:szCs w:val="32"/>
          <w:shd w:val="clear" w:color="auto" w:fill="FFFFFF"/>
        </w:rPr>
        <w:t>第十二条</w:t>
      </w:r>
      <w:r>
        <w:rPr>
          <w:rFonts w:ascii="仿宋_GB2312" w:hAnsi="仿宋_GB2312" w:cs="仿宋_GB2312" w:hint="eastAsia"/>
          <w:kern w:val="0"/>
          <w:szCs w:val="32"/>
          <w:shd w:val="clear" w:color="auto" w:fill="FFFFFF"/>
        </w:rPr>
        <w:t xml:space="preserve"> 将市级高新区在评价年度内发生的重大及以上生产安全事故、重大及以上环境事件、严重违反土地和建设规划事件等方面的处理意见和通报结果作为综合评价的重要依据。</w:t>
      </w:r>
    </w:p>
    <w:p w14:paraId="5A4FBF42" w14:textId="77777777" w:rsidR="00E7446B" w:rsidRDefault="00E7446B">
      <w:pPr>
        <w:spacing w:after="0"/>
        <w:ind w:firstLine="640"/>
        <w:rPr>
          <w:rFonts w:ascii="仿宋_GB2312" w:hAnsi="仿宋_GB2312" w:hint="eastAsia"/>
          <w:bCs/>
        </w:rPr>
      </w:pPr>
    </w:p>
    <w:p w14:paraId="40693BA4"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第三章 区块评价指标</w:t>
      </w:r>
    </w:p>
    <w:p w14:paraId="2021D54D" w14:textId="77777777" w:rsidR="00E7446B" w:rsidRDefault="00000000">
      <w:pPr>
        <w:spacing w:after="0"/>
        <w:ind w:firstLine="643"/>
        <w:rPr>
          <w:rFonts w:ascii="仿宋_GB2312"/>
        </w:rPr>
      </w:pPr>
      <w:bookmarkStart w:id="1" w:name="_Hlk211346141"/>
      <w:r>
        <w:rPr>
          <w:rFonts w:ascii="仿宋_GB2312" w:hAnsi="仿宋_GB2312" w:hint="eastAsia"/>
          <w:b/>
        </w:rPr>
        <w:t xml:space="preserve">第十三条 </w:t>
      </w:r>
      <w:r>
        <w:rPr>
          <w:rFonts w:ascii="仿宋_GB2312" w:hAnsi="仿宋_GB2312" w:hint="eastAsia"/>
          <w:bCs/>
        </w:rPr>
        <w:t>区块评价</w:t>
      </w:r>
      <w:r>
        <w:rPr>
          <w:rFonts w:ascii="仿宋_GB2312" w:hint="eastAsia"/>
        </w:rPr>
        <w:t>结合市级高新区发展实际和统计工作实际，</w:t>
      </w:r>
      <w:r>
        <w:rPr>
          <w:rFonts w:cs="仿宋_GB2312" w:hint="eastAsia"/>
        </w:rPr>
        <w:t>按照经济产出、土地开发利用等现状，对区块划分为培育发展类区块与开发建设类区块。针对培育发展类区块</w:t>
      </w:r>
      <w:r>
        <w:rPr>
          <w:rFonts w:ascii="仿宋_GB2312" w:hint="eastAsia"/>
        </w:rPr>
        <w:t>侧重评价区块的综合质效、企业培育、创新能力、生态活力等情况，针对开发建设类区块侧重评价企业培育、空间利用等情况。</w:t>
      </w:r>
    </w:p>
    <w:p w14:paraId="4D00B2D4" w14:textId="77777777" w:rsidR="00E7446B" w:rsidRDefault="00000000">
      <w:pPr>
        <w:spacing w:after="0"/>
        <w:ind w:firstLine="643"/>
        <w:rPr>
          <w:rFonts w:ascii="仿宋_GB2312"/>
        </w:rPr>
      </w:pPr>
      <w:r>
        <w:rPr>
          <w:rFonts w:ascii="仿宋_GB2312" w:hint="eastAsia"/>
          <w:b/>
          <w:bCs/>
        </w:rPr>
        <w:t>第十四条</w:t>
      </w:r>
      <w:r>
        <w:rPr>
          <w:rFonts w:ascii="仿宋_GB2312" w:hint="eastAsia"/>
        </w:rPr>
        <w:t xml:space="preserve"> 培育发展类区块评价指标包括当年营业收入、地均产出、企业研发投入强度、万人发明专利拥有量、技术合同成交额、国家高新技术企业保有量等26个指标。开发建设类区块评价指标包括土地开发率、土地供应率、土地建成率、当年新注册企业数、国家高新技术企业保有量、科技型和创新型中小企业数、当年新增产业化落地项目地均投资额等20个指标。区块评价设3项定性指标。</w:t>
      </w:r>
    </w:p>
    <w:p w14:paraId="2ED95046" w14:textId="77777777" w:rsidR="00E7446B" w:rsidRDefault="00E7446B">
      <w:pPr>
        <w:widowControl/>
        <w:shd w:val="clear" w:color="auto" w:fill="FFFFFF"/>
        <w:spacing w:after="0"/>
        <w:ind w:firstLine="640"/>
        <w:rPr>
          <w:rFonts w:ascii="仿宋_GB2312" w:hAnsi="仿宋_GB2312" w:cs="仿宋_GB2312" w:hint="eastAsia"/>
          <w:kern w:val="0"/>
          <w:szCs w:val="32"/>
          <w:shd w:val="clear" w:color="auto" w:fill="FFFFFF"/>
        </w:rPr>
      </w:pPr>
    </w:p>
    <w:p w14:paraId="61E95E6D"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第四章 评价组织</w:t>
      </w:r>
    </w:p>
    <w:p w14:paraId="50D862FF" w14:textId="77777777" w:rsidR="00E7446B" w:rsidRDefault="00000000">
      <w:pPr>
        <w:spacing w:after="0"/>
        <w:ind w:firstLine="643"/>
        <w:rPr>
          <w:rFonts w:ascii="仿宋_GB2312" w:hAnsi="仿宋_GB2312" w:hint="eastAsia"/>
          <w:bCs/>
        </w:rPr>
      </w:pPr>
      <w:r>
        <w:rPr>
          <w:rFonts w:ascii="仿宋_GB2312" w:hAnsi="仿宋_GB2312" w:hint="eastAsia"/>
          <w:b/>
        </w:rPr>
        <w:t xml:space="preserve">第十五条 </w:t>
      </w:r>
      <w:r>
        <w:rPr>
          <w:rFonts w:ascii="仿宋_GB2312" w:hAnsi="仿宋_GB2312" w:hint="eastAsia"/>
          <w:bCs/>
        </w:rPr>
        <w:t>市科委中关村管委会负责牵头组织市级高新区评</w:t>
      </w:r>
      <w:r>
        <w:rPr>
          <w:rFonts w:ascii="仿宋_GB2312" w:hAnsi="仿宋_GB2312" w:hint="eastAsia"/>
          <w:bCs/>
        </w:rPr>
        <w:lastRenderedPageBreak/>
        <w:t>价工作，与中关村分</w:t>
      </w:r>
      <w:proofErr w:type="gramStart"/>
      <w:r>
        <w:rPr>
          <w:rFonts w:ascii="仿宋_GB2312" w:hAnsi="仿宋_GB2312" w:hint="eastAsia"/>
          <w:bCs/>
        </w:rPr>
        <w:t>园创新</w:t>
      </w:r>
      <w:proofErr w:type="gramEnd"/>
      <w:r>
        <w:rPr>
          <w:rFonts w:ascii="仿宋_GB2312" w:hAnsi="仿宋_GB2312" w:hint="eastAsia"/>
          <w:bCs/>
        </w:rPr>
        <w:t>发展综合评价同步开展。</w:t>
      </w:r>
    </w:p>
    <w:p w14:paraId="185AC3F4" w14:textId="77777777" w:rsidR="00E7446B" w:rsidRDefault="00000000">
      <w:pPr>
        <w:spacing w:after="0"/>
        <w:ind w:firstLine="643"/>
        <w:rPr>
          <w:rFonts w:ascii="仿宋_GB2312" w:hAnsi="仿宋_GB2312" w:hint="eastAsia"/>
          <w:bCs/>
        </w:rPr>
      </w:pPr>
      <w:r>
        <w:rPr>
          <w:rFonts w:ascii="仿宋_GB2312" w:hAnsi="仿宋_GB2312" w:hint="eastAsia"/>
          <w:b/>
        </w:rPr>
        <w:t xml:space="preserve">第十六条 </w:t>
      </w:r>
      <w:r>
        <w:rPr>
          <w:rFonts w:ascii="仿宋_GB2312" w:hAnsi="仿宋_GB2312" w:hint="eastAsia"/>
          <w:bCs/>
        </w:rPr>
        <w:t>各分园管理机构负责开展市级高新区</w:t>
      </w:r>
      <w:proofErr w:type="gramStart"/>
      <w:r>
        <w:rPr>
          <w:rFonts w:ascii="仿宋_GB2312" w:hAnsi="仿宋_GB2312" w:hint="eastAsia"/>
          <w:bCs/>
        </w:rPr>
        <w:t>自评价</w:t>
      </w:r>
      <w:proofErr w:type="gramEnd"/>
      <w:r>
        <w:rPr>
          <w:rFonts w:ascii="仿宋_GB2312" w:hAnsi="仿宋_GB2312" w:hint="eastAsia"/>
          <w:bCs/>
        </w:rPr>
        <w:t>工作，提交自评价报告。市科委中关村管委会委托专业机构开展第三方评价，专业机构结合各市级高新区自评价报告，形成综合和区块评价意见。</w:t>
      </w:r>
    </w:p>
    <w:p w14:paraId="6D1C3005" w14:textId="77777777" w:rsidR="00E7446B" w:rsidRDefault="00000000">
      <w:pPr>
        <w:spacing w:after="0"/>
        <w:ind w:firstLine="643"/>
        <w:rPr>
          <w:rFonts w:ascii="仿宋_GB2312" w:hAnsi="仿宋_GB2312" w:hint="eastAsia"/>
          <w:bCs/>
        </w:rPr>
      </w:pPr>
      <w:r>
        <w:rPr>
          <w:rFonts w:ascii="仿宋_GB2312" w:hAnsi="仿宋_GB2312" w:hint="eastAsia"/>
          <w:b/>
        </w:rPr>
        <w:t xml:space="preserve">第十七条 </w:t>
      </w:r>
      <w:r>
        <w:rPr>
          <w:rFonts w:ascii="仿宋_GB2312" w:hAnsi="仿宋_GB2312" w:hint="eastAsia"/>
          <w:bCs/>
        </w:rPr>
        <w:t>市科委中关村管委会根据各市级高新区自评价报告与专业机构评价意见，形成评价结果和工作建议。</w:t>
      </w:r>
    </w:p>
    <w:p w14:paraId="6D6B1B7C" w14:textId="77777777" w:rsidR="00E7446B" w:rsidRDefault="00000000">
      <w:pPr>
        <w:spacing w:after="0"/>
        <w:ind w:firstLine="643"/>
        <w:rPr>
          <w:rFonts w:ascii="仿宋_GB2312" w:hAnsi="仿宋_GB2312" w:hint="eastAsia"/>
          <w:bCs/>
        </w:rPr>
      </w:pPr>
      <w:r>
        <w:rPr>
          <w:rFonts w:ascii="仿宋_GB2312" w:hAnsi="仿宋_GB2312" w:hint="eastAsia"/>
          <w:b/>
        </w:rPr>
        <w:t xml:space="preserve">第十八条 </w:t>
      </w:r>
      <w:r>
        <w:rPr>
          <w:rFonts w:ascii="仿宋_GB2312" w:hAnsi="仿宋_GB2312" w:hint="eastAsia"/>
          <w:bCs/>
        </w:rPr>
        <w:t>评价工作每年开展一次。评价数据采用市级高新区上年度相关数据，评价结果反映市级高新区上年度发展绩效。</w:t>
      </w:r>
    </w:p>
    <w:p w14:paraId="410A6500" w14:textId="77777777" w:rsidR="00E7446B" w:rsidRDefault="00000000">
      <w:pPr>
        <w:widowControl/>
        <w:shd w:val="clear" w:color="auto" w:fill="FFFFFF"/>
        <w:spacing w:after="0"/>
        <w:ind w:firstLine="643"/>
        <w:rPr>
          <w:rFonts w:ascii="仿宋_GB2312" w:hAnsi="仿宋_GB2312" w:cs="仿宋_GB2312" w:hint="eastAsia"/>
          <w:kern w:val="0"/>
          <w:szCs w:val="32"/>
          <w:shd w:val="clear" w:color="auto" w:fill="FFFFFF"/>
        </w:rPr>
      </w:pPr>
      <w:r>
        <w:rPr>
          <w:rFonts w:ascii="仿宋_GB2312" w:hAnsi="仿宋_GB2312" w:cs="仿宋_GB2312" w:hint="eastAsia"/>
          <w:b/>
          <w:bCs/>
          <w:kern w:val="0"/>
          <w:szCs w:val="32"/>
          <w:shd w:val="clear" w:color="auto" w:fill="FFFFFF"/>
        </w:rPr>
        <w:t xml:space="preserve">第十九条 </w:t>
      </w:r>
      <w:r>
        <w:rPr>
          <w:rFonts w:ascii="仿宋_GB2312" w:hAnsi="仿宋_GB2312" w:cs="仿宋_GB2312" w:hint="eastAsia"/>
          <w:kern w:val="0"/>
          <w:szCs w:val="32"/>
          <w:shd w:val="clear" w:color="auto" w:fill="FFFFFF"/>
        </w:rPr>
        <w:t>各市级高新区要建立健全评价统计工作体系，切实保证评价信息填报质量。</w:t>
      </w:r>
    </w:p>
    <w:p w14:paraId="46D17BB4" w14:textId="77777777" w:rsidR="00E7446B" w:rsidRDefault="00E7446B">
      <w:pPr>
        <w:spacing w:after="0"/>
        <w:ind w:firstLine="640"/>
        <w:rPr>
          <w:rFonts w:ascii="仿宋_GB2312" w:hAnsi="仿宋_GB2312" w:hint="eastAsia"/>
          <w:bCs/>
        </w:rPr>
      </w:pPr>
    </w:p>
    <w:p w14:paraId="6D8385E6"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第五章 评价应用和动态管理</w:t>
      </w:r>
    </w:p>
    <w:bookmarkEnd w:id="1"/>
    <w:p w14:paraId="69B4BCC4" w14:textId="77777777" w:rsidR="00E7446B" w:rsidRDefault="00000000">
      <w:pPr>
        <w:spacing w:after="0"/>
        <w:ind w:firstLine="643"/>
        <w:rPr>
          <w:rFonts w:ascii="仿宋_GB2312" w:hAnsi="仿宋_GB2312" w:hint="eastAsia"/>
          <w:bCs/>
        </w:rPr>
      </w:pPr>
      <w:r>
        <w:rPr>
          <w:rFonts w:ascii="仿宋_GB2312" w:hAnsi="仿宋_GB2312" w:hint="eastAsia"/>
          <w:b/>
        </w:rPr>
        <w:t xml:space="preserve">第二十条 </w:t>
      </w:r>
      <w:r>
        <w:rPr>
          <w:rFonts w:ascii="仿宋_GB2312" w:hAnsi="仿宋_GB2312" w:hint="eastAsia"/>
          <w:bCs/>
        </w:rPr>
        <w:t>依据综合评价结果，优先推荐创新能力强、发展质量高、产业特色明显的市级高新区升级，纳入国家高新区范围，并在科技项目申报、创新资源布局、创新人才引进、园区和平台建设等方面给予更大力度支持。</w:t>
      </w:r>
    </w:p>
    <w:p w14:paraId="55BAA0EA" w14:textId="77777777" w:rsidR="00E7446B" w:rsidRDefault="00000000">
      <w:pPr>
        <w:spacing w:after="0"/>
        <w:ind w:firstLine="643"/>
        <w:rPr>
          <w:rFonts w:ascii="仿宋_GB2312" w:hAnsi="仿宋_GB2312" w:hint="eastAsia"/>
          <w:bCs/>
        </w:rPr>
      </w:pPr>
      <w:r>
        <w:rPr>
          <w:rFonts w:ascii="仿宋_GB2312" w:hAnsi="仿宋_GB2312" w:hint="eastAsia"/>
          <w:b/>
        </w:rPr>
        <w:t xml:space="preserve">第二十一条 </w:t>
      </w:r>
      <w:r>
        <w:rPr>
          <w:rFonts w:ascii="仿宋_GB2312" w:hAnsi="仿宋_GB2312" w:hint="eastAsia"/>
          <w:bCs/>
        </w:rPr>
        <w:t>依据区块评价结果，对于</w:t>
      </w:r>
      <w:r>
        <w:rPr>
          <w:rFonts w:ascii="仿宋_GB2312" w:hint="eastAsia"/>
        </w:rPr>
        <w:t>发展建设进展滞后的区块限期整改，给予一年整改期，第二年</w:t>
      </w:r>
      <w:r>
        <w:rPr>
          <w:rFonts w:ascii="仿宋_GB2312" w:hAnsi="仿宋_GB2312" w:hint="eastAsia"/>
          <w:bCs/>
        </w:rPr>
        <w:t>整改不达标的由市科委中关村管委会报市政府批准后，退出市级高新区序列，同步报国家有关部门备案。</w:t>
      </w:r>
    </w:p>
    <w:p w14:paraId="73BC188E" w14:textId="77777777" w:rsidR="00E7446B" w:rsidRDefault="00000000">
      <w:pPr>
        <w:spacing w:after="0"/>
        <w:ind w:firstLine="643"/>
        <w:rPr>
          <w:rFonts w:ascii="仿宋_GB2312" w:hAnsi="仿宋_GB2312" w:hint="eastAsia"/>
          <w:bCs/>
        </w:rPr>
      </w:pPr>
      <w:r>
        <w:rPr>
          <w:rFonts w:ascii="仿宋_GB2312" w:hAnsi="仿宋_GB2312" w:hint="eastAsia"/>
          <w:b/>
        </w:rPr>
        <w:t>第二十二条</w:t>
      </w:r>
      <w:r>
        <w:rPr>
          <w:rFonts w:ascii="仿宋_GB2312" w:hAnsi="仿宋_GB2312" w:hint="eastAsia"/>
          <w:bCs/>
        </w:rPr>
        <w:t xml:space="preserve"> 针对生态涵养区区块，所在区政府可提交过渡</w:t>
      </w:r>
      <w:r>
        <w:rPr>
          <w:rFonts w:ascii="仿宋_GB2312" w:hAnsi="仿宋_GB2312" w:hint="eastAsia"/>
          <w:bCs/>
        </w:rPr>
        <w:lastRenderedPageBreak/>
        <w:t>期申请材料，并就预计达到的发展目标</w:t>
      </w:r>
      <w:proofErr w:type="gramStart"/>
      <w:r>
        <w:rPr>
          <w:rFonts w:ascii="仿宋_GB2312" w:hAnsi="仿宋_GB2312" w:hint="eastAsia"/>
          <w:bCs/>
        </w:rPr>
        <w:t>作出</w:t>
      </w:r>
      <w:proofErr w:type="gramEnd"/>
      <w:r>
        <w:rPr>
          <w:rFonts w:ascii="仿宋_GB2312" w:hAnsi="仿宋_GB2312" w:hint="eastAsia"/>
          <w:bCs/>
        </w:rPr>
        <w:t>承诺，报市政府批准同意后，可设置不超过5年的过渡期，先行纳入市级高新区。过渡期满后未达到承诺目标的，自动退出市级高新区序列。未提交过渡期申请材料的，不享受过渡期政策。战略留白区块参照执行。</w:t>
      </w:r>
    </w:p>
    <w:p w14:paraId="120700D7" w14:textId="77777777" w:rsidR="00E7446B" w:rsidRDefault="00E7446B">
      <w:pPr>
        <w:spacing w:after="0"/>
        <w:ind w:firstLine="640"/>
        <w:rPr>
          <w:rFonts w:ascii="仿宋_GB2312" w:hAnsi="仿宋_GB2312" w:hint="eastAsia"/>
          <w:bCs/>
        </w:rPr>
      </w:pPr>
    </w:p>
    <w:p w14:paraId="31B7F852" w14:textId="77777777" w:rsidR="00E7446B" w:rsidRDefault="00000000">
      <w:pPr>
        <w:spacing w:after="0"/>
        <w:ind w:firstLineChars="0" w:firstLine="0"/>
        <w:jc w:val="center"/>
        <w:rPr>
          <w:rFonts w:ascii="黑体" w:eastAsia="黑体" w:hAnsi="黑体" w:hint="eastAsia"/>
        </w:rPr>
      </w:pPr>
      <w:r>
        <w:rPr>
          <w:rFonts w:ascii="黑体" w:eastAsia="黑体" w:hAnsi="黑体" w:hint="eastAsia"/>
        </w:rPr>
        <w:t>第六章 附则</w:t>
      </w:r>
    </w:p>
    <w:p w14:paraId="79BE2ED0" w14:textId="77777777" w:rsidR="00E7446B" w:rsidRDefault="00000000">
      <w:pPr>
        <w:spacing w:after="0"/>
        <w:ind w:firstLine="643"/>
        <w:rPr>
          <w:rFonts w:ascii="仿宋_GB2312"/>
        </w:rPr>
      </w:pPr>
      <w:r>
        <w:rPr>
          <w:rFonts w:ascii="仿宋_GB2312" w:hAnsi="仿宋_GB2312" w:hint="eastAsia"/>
          <w:b/>
        </w:rPr>
        <w:t xml:space="preserve">第二十三条 </w:t>
      </w:r>
      <w:r>
        <w:rPr>
          <w:rFonts w:ascii="仿宋_GB2312" w:hint="eastAsia"/>
        </w:rPr>
        <w:t>本办法由市科委中关村管委会负责解释。市科委中关村管委会可根据国家政策导向和市级高新区发展建设需要，对评价指标适时调整。</w:t>
      </w:r>
    </w:p>
    <w:p w14:paraId="1016D747" w14:textId="77777777" w:rsidR="00E7446B" w:rsidRDefault="00000000">
      <w:pPr>
        <w:spacing w:after="0"/>
        <w:ind w:firstLine="643"/>
      </w:pPr>
      <w:r>
        <w:rPr>
          <w:rFonts w:ascii="仿宋_GB2312" w:hint="eastAsia"/>
          <w:b/>
          <w:bCs/>
        </w:rPr>
        <w:t xml:space="preserve">第二十四条 </w:t>
      </w:r>
      <w:r>
        <w:rPr>
          <w:rFonts w:ascii="仿宋_GB2312" w:hint="eastAsia"/>
        </w:rPr>
        <w:t>本办法自印发之日起施行。</w:t>
      </w:r>
    </w:p>
    <w:sectPr w:rsidR="00E7446B">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CF2D" w14:textId="77777777" w:rsidR="00D61258" w:rsidRDefault="00D61258">
      <w:pPr>
        <w:spacing w:line="240" w:lineRule="auto"/>
        <w:ind w:firstLine="640"/>
      </w:pPr>
      <w:r>
        <w:separator/>
      </w:r>
    </w:p>
  </w:endnote>
  <w:endnote w:type="continuationSeparator" w:id="0">
    <w:p w14:paraId="7160068F" w14:textId="77777777" w:rsidR="00D61258" w:rsidRDefault="00D6125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37C0" w14:textId="77777777" w:rsidR="00E7446B" w:rsidRDefault="00E74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515746"/>
    </w:sdtPr>
    <w:sdtContent>
      <w:p w14:paraId="5FD05E43" w14:textId="77777777" w:rsidR="00E7446B" w:rsidRDefault="00000000">
        <w:pPr>
          <w:pStyle w:val="a3"/>
          <w:ind w:firstLine="360"/>
          <w:jc w:val="center"/>
        </w:pPr>
        <w:r>
          <w:fldChar w:fldCharType="begin"/>
        </w:r>
        <w:r>
          <w:instrText>PAGE   \* MERGEFORMAT</w:instrText>
        </w:r>
        <w:r>
          <w:fldChar w:fldCharType="separate"/>
        </w:r>
        <w:r>
          <w:rPr>
            <w:lang w:val="zh-CN"/>
          </w:rPr>
          <w:t>5</w:t>
        </w:r>
        <w:r>
          <w:fldChar w:fldCharType="end"/>
        </w:r>
      </w:p>
    </w:sdtContent>
  </w:sdt>
  <w:p w14:paraId="57BD1830" w14:textId="77777777" w:rsidR="00E7446B" w:rsidRDefault="00E7446B">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7241" w14:textId="77777777" w:rsidR="00E7446B" w:rsidRDefault="00E74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967F" w14:textId="77777777" w:rsidR="00D61258" w:rsidRDefault="00D61258">
      <w:pPr>
        <w:spacing w:line="240" w:lineRule="auto"/>
        <w:ind w:firstLine="640"/>
      </w:pPr>
      <w:r>
        <w:separator/>
      </w:r>
    </w:p>
  </w:footnote>
  <w:footnote w:type="continuationSeparator" w:id="0">
    <w:p w14:paraId="77F246B9" w14:textId="77777777" w:rsidR="00D61258" w:rsidRDefault="00D6125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A145" w14:textId="77777777" w:rsidR="00E7446B" w:rsidRDefault="00E7446B">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F38D" w14:textId="77777777" w:rsidR="00E7446B" w:rsidRDefault="00E7446B">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DA8B" w14:textId="77777777" w:rsidR="00E7446B" w:rsidRDefault="00E7446B">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4F"/>
    <w:rsid w:val="EB7FFBFF"/>
    <w:rsid w:val="FFD321F7"/>
    <w:rsid w:val="0004078C"/>
    <w:rsid w:val="000419DB"/>
    <w:rsid w:val="0005190B"/>
    <w:rsid w:val="000537D5"/>
    <w:rsid w:val="000607D7"/>
    <w:rsid w:val="000719ED"/>
    <w:rsid w:val="00073C17"/>
    <w:rsid w:val="000758EC"/>
    <w:rsid w:val="0009747E"/>
    <w:rsid w:val="000A2CA1"/>
    <w:rsid w:val="000B1F3C"/>
    <w:rsid w:val="000B3BA9"/>
    <w:rsid w:val="000E3F72"/>
    <w:rsid w:val="000E6255"/>
    <w:rsid w:val="000F2448"/>
    <w:rsid w:val="001A031E"/>
    <w:rsid w:val="001B48F6"/>
    <w:rsid w:val="002061E2"/>
    <w:rsid w:val="00222D17"/>
    <w:rsid w:val="002301C1"/>
    <w:rsid w:val="002419F6"/>
    <w:rsid w:val="00255930"/>
    <w:rsid w:val="00267857"/>
    <w:rsid w:val="00273440"/>
    <w:rsid w:val="00285EC4"/>
    <w:rsid w:val="00287E7B"/>
    <w:rsid w:val="00291C87"/>
    <w:rsid w:val="002946B7"/>
    <w:rsid w:val="002A5896"/>
    <w:rsid w:val="002A6A15"/>
    <w:rsid w:val="002B27D8"/>
    <w:rsid w:val="002D1DA2"/>
    <w:rsid w:val="002E0E7D"/>
    <w:rsid w:val="0033405E"/>
    <w:rsid w:val="00355839"/>
    <w:rsid w:val="00385C60"/>
    <w:rsid w:val="003D1F62"/>
    <w:rsid w:val="003D2B31"/>
    <w:rsid w:val="003E6B2B"/>
    <w:rsid w:val="003F3B42"/>
    <w:rsid w:val="004255B1"/>
    <w:rsid w:val="00451C5D"/>
    <w:rsid w:val="00464BBD"/>
    <w:rsid w:val="00466B5D"/>
    <w:rsid w:val="00473BE2"/>
    <w:rsid w:val="004A51BC"/>
    <w:rsid w:val="004D43B8"/>
    <w:rsid w:val="004F3821"/>
    <w:rsid w:val="0051165C"/>
    <w:rsid w:val="005221FA"/>
    <w:rsid w:val="00567A98"/>
    <w:rsid w:val="0058090E"/>
    <w:rsid w:val="00585DAA"/>
    <w:rsid w:val="005902D9"/>
    <w:rsid w:val="00595A7A"/>
    <w:rsid w:val="005C1E15"/>
    <w:rsid w:val="005C2F0B"/>
    <w:rsid w:val="005C4F82"/>
    <w:rsid w:val="005D5EC5"/>
    <w:rsid w:val="005D5F2C"/>
    <w:rsid w:val="005F1A21"/>
    <w:rsid w:val="00672081"/>
    <w:rsid w:val="006C30BB"/>
    <w:rsid w:val="007201FD"/>
    <w:rsid w:val="0072268A"/>
    <w:rsid w:val="007517F6"/>
    <w:rsid w:val="007A1A5A"/>
    <w:rsid w:val="007C3688"/>
    <w:rsid w:val="007E7163"/>
    <w:rsid w:val="008327C7"/>
    <w:rsid w:val="00863ABC"/>
    <w:rsid w:val="00871859"/>
    <w:rsid w:val="00875A5F"/>
    <w:rsid w:val="0088633A"/>
    <w:rsid w:val="00897BC0"/>
    <w:rsid w:val="008C28EF"/>
    <w:rsid w:val="008C40C6"/>
    <w:rsid w:val="009229E3"/>
    <w:rsid w:val="0094562F"/>
    <w:rsid w:val="00962D0F"/>
    <w:rsid w:val="00966F7A"/>
    <w:rsid w:val="00985334"/>
    <w:rsid w:val="00991310"/>
    <w:rsid w:val="009D0E31"/>
    <w:rsid w:val="00A1100A"/>
    <w:rsid w:val="00A11F3B"/>
    <w:rsid w:val="00AA013B"/>
    <w:rsid w:val="00AA3E18"/>
    <w:rsid w:val="00AB289C"/>
    <w:rsid w:val="00AC1606"/>
    <w:rsid w:val="00AC6846"/>
    <w:rsid w:val="00AE5110"/>
    <w:rsid w:val="00B325B7"/>
    <w:rsid w:val="00BB1D03"/>
    <w:rsid w:val="00BC0EC5"/>
    <w:rsid w:val="00BC7ED1"/>
    <w:rsid w:val="00BE0CD2"/>
    <w:rsid w:val="00C031B1"/>
    <w:rsid w:val="00C07FDF"/>
    <w:rsid w:val="00C10774"/>
    <w:rsid w:val="00C250E2"/>
    <w:rsid w:val="00C42C20"/>
    <w:rsid w:val="00C654D7"/>
    <w:rsid w:val="00C67551"/>
    <w:rsid w:val="00C77E37"/>
    <w:rsid w:val="00C949BC"/>
    <w:rsid w:val="00CA1EF4"/>
    <w:rsid w:val="00D02889"/>
    <w:rsid w:val="00D03745"/>
    <w:rsid w:val="00D115A7"/>
    <w:rsid w:val="00D4684F"/>
    <w:rsid w:val="00D60967"/>
    <w:rsid w:val="00D61258"/>
    <w:rsid w:val="00D84045"/>
    <w:rsid w:val="00D90848"/>
    <w:rsid w:val="00D96B66"/>
    <w:rsid w:val="00DC5020"/>
    <w:rsid w:val="00DE5EFB"/>
    <w:rsid w:val="00DF0A59"/>
    <w:rsid w:val="00DF50C7"/>
    <w:rsid w:val="00E20094"/>
    <w:rsid w:val="00E23FA2"/>
    <w:rsid w:val="00E30951"/>
    <w:rsid w:val="00E7446B"/>
    <w:rsid w:val="00EB0315"/>
    <w:rsid w:val="00F04D22"/>
    <w:rsid w:val="00F141F0"/>
    <w:rsid w:val="00F151A9"/>
    <w:rsid w:val="00F43BE3"/>
    <w:rsid w:val="00F56330"/>
    <w:rsid w:val="00F70381"/>
    <w:rsid w:val="57AEE4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25DA"/>
  <w15:docId w15:val="{9936DAB7-3BA5-49DD-A8C4-B7E6486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Calibri" w:eastAsia="仿宋_GB2312" w:hAnsi="Calibri" w:cs="Times New Roman"/>
      <w:kern w:val="2"/>
      <w:sz w:val="32"/>
      <w:szCs w:val="24"/>
    </w:rPr>
  </w:style>
  <w:style w:type="paragraph" w:styleId="1">
    <w:name w:val="heading 1"/>
    <w:basedOn w:val="a"/>
    <w:next w:val="a"/>
    <w:link w:val="10"/>
    <w:qFormat/>
    <w:pPr>
      <w:ind w:firstLine="640"/>
      <w:outlineLvl w:val="0"/>
    </w:pPr>
    <w:rPr>
      <w:rFonts w:ascii="方正小标宋简体" w:eastAsia="黑体" w:hAnsi="黑体" w:cstheme="minorBidi"/>
    </w:rPr>
  </w:style>
  <w:style w:type="paragraph" w:styleId="2">
    <w:name w:val="heading 2"/>
    <w:basedOn w:val="a"/>
    <w:next w:val="a"/>
    <w:link w:val="20"/>
    <w:qFormat/>
    <w:pPr>
      <w:keepNext/>
      <w:keepLines/>
      <w:outlineLvl w:val="1"/>
    </w:pPr>
    <w:rPr>
      <w:rFonts w:ascii="楷体_GB2312" w:eastAsia="楷体_GB2312" w:hAnsi="Arial"/>
    </w:rPr>
  </w:style>
  <w:style w:type="paragraph" w:styleId="3">
    <w:name w:val="heading 3"/>
    <w:basedOn w:val="a"/>
    <w:next w:val="a"/>
    <w:link w:val="30"/>
    <w:qFormat/>
    <w:pPr>
      <w:keepNext/>
      <w:keepLines/>
      <w:outlineLvl w:val="2"/>
    </w:p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30">
    <w:name w:val="标题 3 字符"/>
    <w:basedOn w:val="a0"/>
    <w:link w:val="3"/>
    <w:qFormat/>
    <w:rPr>
      <w:rFonts w:ascii="Calibri" w:eastAsia="仿宋_GB2312" w:hAnsi="Calibri" w:cs="Times New Roman"/>
      <w:sz w:val="32"/>
      <w:szCs w:val="24"/>
    </w:rPr>
  </w:style>
  <w:style w:type="character" w:customStyle="1" w:styleId="20">
    <w:name w:val="标题 2 字符"/>
    <w:basedOn w:val="a0"/>
    <w:link w:val="2"/>
    <w:qFormat/>
    <w:rPr>
      <w:rFonts w:ascii="楷体_GB2312" w:eastAsia="楷体_GB2312" w:hAnsi="Arial" w:cs="Times New Roman"/>
      <w:sz w:val="32"/>
      <w:szCs w:val="24"/>
    </w:rPr>
  </w:style>
  <w:style w:type="character" w:customStyle="1" w:styleId="10">
    <w:name w:val="标题 1 字符"/>
    <w:basedOn w:val="a0"/>
    <w:link w:val="1"/>
    <w:qFormat/>
    <w:rPr>
      <w:rFonts w:ascii="方正小标宋简体" w:eastAsia="黑体" w:hAnsi="黑体"/>
      <w:sz w:val="32"/>
      <w:szCs w:val="24"/>
    </w:rPr>
  </w:style>
  <w:style w:type="paragraph" w:customStyle="1" w:styleId="ab">
    <w:name w:val="大标题"/>
    <w:basedOn w:val="1"/>
    <w:qFormat/>
    <w:pPr>
      <w:jc w:val="center"/>
    </w:pPr>
    <w:rPr>
      <w:rFonts w:eastAsia="方正小标宋简体" w:cs="Times New Roman"/>
      <w:sz w:val="44"/>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sz w:val="32"/>
      <w:szCs w:val="24"/>
    </w:rPr>
  </w:style>
  <w:style w:type="character" w:customStyle="1" w:styleId="70">
    <w:name w:val="标题 7 字符"/>
    <w:basedOn w:val="a0"/>
    <w:link w:val="7"/>
    <w:uiPriority w:val="9"/>
    <w:semiHidden/>
    <w:qFormat/>
    <w:rPr>
      <w:rFonts w:cstheme="majorBidi"/>
      <w:b/>
      <w:bCs/>
      <w:color w:val="595959" w:themeColor="text1" w:themeTint="A6"/>
      <w:sz w:val="32"/>
      <w:szCs w:val="24"/>
    </w:rPr>
  </w:style>
  <w:style w:type="character" w:customStyle="1" w:styleId="80">
    <w:name w:val="标题 8 字符"/>
    <w:basedOn w:val="a0"/>
    <w:link w:val="8"/>
    <w:uiPriority w:val="9"/>
    <w:semiHidden/>
    <w:qFormat/>
    <w:rPr>
      <w:rFonts w:cstheme="majorBidi"/>
      <w:color w:val="595959" w:themeColor="text1" w:themeTint="A6"/>
      <w:sz w:val="32"/>
      <w:szCs w:val="24"/>
    </w:rPr>
  </w:style>
  <w:style w:type="character" w:customStyle="1" w:styleId="90">
    <w:name w:val="标题 9 字符"/>
    <w:basedOn w:val="a0"/>
    <w:link w:val="9"/>
    <w:uiPriority w:val="9"/>
    <w:semiHidden/>
    <w:qFormat/>
    <w:rPr>
      <w:rFonts w:eastAsiaTheme="majorEastAsia" w:cstheme="majorBidi"/>
      <w:color w:val="595959" w:themeColor="text1" w:themeTint="A6"/>
      <w:sz w:val="32"/>
      <w:szCs w:val="24"/>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rFonts w:ascii="Calibri" w:eastAsia="仿宋_GB2312" w:hAnsi="Calibri" w:cs="Times New Roman"/>
      <w:i/>
      <w:iCs/>
      <w:color w:val="404040" w:themeColor="text1" w:themeTint="BF"/>
      <w:sz w:val="32"/>
      <w:szCs w:val="24"/>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rFonts w:ascii="Calibri" w:eastAsia="仿宋_GB2312" w:hAnsi="Calibri" w:cs="Times New Roman"/>
      <w:i/>
      <w:iCs/>
      <w:color w:val="2F5496" w:themeColor="accent1" w:themeShade="BF"/>
      <w:sz w:val="32"/>
      <w:szCs w:val="24"/>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Calibri" w:eastAsia="仿宋_GB2312" w:hAnsi="Calibri" w:cs="Times New Roman"/>
      <w:sz w:val="18"/>
      <w:szCs w:val="18"/>
    </w:rPr>
  </w:style>
  <w:style w:type="paragraph" w:customStyle="1" w:styleId="13">
    <w:name w:val="修订1"/>
    <w:hidden/>
    <w:uiPriority w:val="99"/>
    <w:unhideWhenUsed/>
    <w:qFormat/>
    <w:pPr>
      <w:spacing w:after="0" w:line="240" w:lineRule="auto"/>
    </w:pPr>
    <w:rPr>
      <w:rFonts w:ascii="Calibri" w:eastAsia="仿宋_GB2312" w:hAnsi="Calibri" w:cs="Times New Roman"/>
      <w:kern w:val="2"/>
      <w:sz w:val="32"/>
      <w:szCs w:val="24"/>
    </w:rPr>
  </w:style>
  <w:style w:type="paragraph" w:styleId="af1">
    <w:name w:val="Revision"/>
    <w:hidden/>
    <w:uiPriority w:val="99"/>
    <w:unhideWhenUsed/>
    <w:rsid w:val="00466B5D"/>
    <w:pPr>
      <w:spacing w:after="0" w:line="240" w:lineRule="auto"/>
    </w:pPr>
    <w:rPr>
      <w:rFonts w:ascii="Calibri" w:eastAsia="仿宋_GB2312" w:hAnsi="Calibri"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young</dc:creator>
  <cp:lastModifiedBy>星星 吉</cp:lastModifiedBy>
  <cp:revision>3</cp:revision>
  <cp:lastPrinted>2026-01-27T05:45:00Z</cp:lastPrinted>
  <dcterms:created xsi:type="dcterms:W3CDTF">2026-03-10T01:46:00Z</dcterms:created>
  <dcterms:modified xsi:type="dcterms:W3CDTF">2026-03-10T01:47:00Z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