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21661">
      <w:pPr>
        <w:spacing w:line="560" w:lineRule="exact"/>
        <w:jc w:val="both"/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附件2</w:t>
      </w:r>
    </w:p>
    <w:p w14:paraId="5F239EAE">
      <w:pPr>
        <w:spacing w:line="560" w:lineRule="exact"/>
        <w:jc w:val="both"/>
        <w:rPr>
          <w:rFonts w:hint="default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</w:pPr>
    </w:p>
    <w:p w14:paraId="32C9F68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《北京市支持校企合作平台建设工作措施（征求意见稿）》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起草说明</w:t>
      </w:r>
    </w:p>
    <w:p w14:paraId="0226B406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6EBB6552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</w:t>
      </w:r>
    </w:p>
    <w:p w14:paraId="52AD361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为进一步强化企业创新主体地位，深入推动企业与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高等院校、科研院所、医疗卫生机构等（以下统称高校院所）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的产学研合作，推进科技创新和产业创新深度融合，依据《北京市推进科技成果转化落地行动方案（2025-2027年）》要求，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市科委、中关村管委会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划联合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部门出台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北京市支持校企合作平台建设工作措施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以下简称《工作措施》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，不断推动高质量科技成果转化落地，助力北京国际科技创新中心建设。</w:t>
      </w:r>
    </w:p>
    <w:p w14:paraId="6057B23A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二、起草过程</w:t>
      </w:r>
    </w:p>
    <w:p w14:paraId="76E055B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市科委、中关村管委会会同相关部门梳理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重点高校院所与企业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共建合作平台有关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组织高校院所</w:t>
      </w:r>
      <w:r>
        <w:rPr>
          <w:rFonts w:hint="eastAsia" w:ascii="仿宋_GB2312" w:hAnsi="仿宋_GB2312" w:eastAsia="仿宋_GB2312" w:cs="仿宋_GB2312"/>
          <w:sz w:val="32"/>
          <w:szCs w:val="32"/>
        </w:rPr>
        <w:t>等单位召开座谈会，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lang w:val="en-US" w:eastAsia="zh-CN"/>
        </w:rPr>
        <w:t>吸纳多方意见修改完善后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</w:rPr>
        <w:t>形成《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工作措施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2EB5B44"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主要内容</w:t>
      </w:r>
    </w:p>
    <w:p w14:paraId="71E183F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工作措施</w:t>
      </w:r>
      <w:r>
        <w:rPr>
          <w:rFonts w:hint="eastAsia" w:ascii="仿宋_GB2312" w:hAnsi="仿宋_GB2312" w:eastAsia="仿宋_GB2312" w:cs="仿宋_GB2312"/>
          <w:sz w:val="32"/>
          <w:szCs w:val="32"/>
        </w:rPr>
        <w:t>》共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大部分，即支持对象、支持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内容以及附则</w:t>
      </w:r>
      <w:r>
        <w:rPr>
          <w:rFonts w:hint="eastAsia" w:ascii="仿宋_GB2312" w:hAnsi="仿宋_GB2312" w:eastAsia="仿宋_GB2312" w:cs="仿宋_GB2312"/>
          <w:sz w:val="32"/>
          <w:szCs w:val="32"/>
        </w:rPr>
        <w:t>，说明如下：</w:t>
      </w:r>
    </w:p>
    <w:p w14:paraId="5EBCB4C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（一）支持对象。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校企合作平台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”的定义和职能，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是由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与高校院所共建的研发中心、联合实验室、产业研究院等科研创新及成果转化平台。核心职能是以企业需求为导向，有效汇聚校企创新资源，构建“产学研用”协同攻关体系，推动科研攻关与创新成果高效转化。</w:t>
      </w:r>
    </w:p>
    <w:p w14:paraId="039C1AC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（二）支持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条件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规定了须同时满足的标准，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稳定的合作基础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校企合作平台须经高校院所有关管理办法认定，高校院所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与企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业签署共建协议，合作期限原则上应不少于3年。企业与高校院所共建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单位等合作实体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参照上述要求执行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有充分的经费投入。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由企业“出资、出题”，高校院所“出团队、出技术”。企业出资包括资金、设备、软件等科研资源和条件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明确的产业方向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原则上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应符合本市高精尖产业领域布局，主要包括新一代信息技术、医药健康、人工智能、绿色先进能源和低碳环保等重点产业，集成电路、机器人和智能制造、智能网联汽车、空天技术等战略性新兴产业，第六代移动通信、量子科技、生物制造、脑机接口等未来产业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健全的运行机制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原则上应由企业与高校院所共同管理，建立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平台管理、技术研发、人才培养等协同机制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。以企业技术需求为导向，共同指导重大任务攻关。通过双聘互聘等人员交流机制，建立联合科研攻关团队。</w:t>
      </w:r>
    </w:p>
    <w:p w14:paraId="1C2CD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（三）支持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内容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拟定四</w:t>
      </w:r>
      <w:r>
        <w:rPr>
          <w:rFonts w:hint="eastAsia" w:ascii="仿宋_GB2312" w:hAnsi="仿宋_GB2312" w:eastAsia="仿宋_GB2312" w:cs="仿宋_GB2312"/>
          <w:sz w:val="32"/>
          <w:szCs w:val="32"/>
        </w:rPr>
        <w:t>条具体举措，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一是支持开展关键技术联合攻关。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通过科研立项，采取事前补助方式，资助产学研深度合作项目。根据合作企业实际投入经费情况，对平台建设单位给予最高不超过200万元的资金支持。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二是支持申报市级科技创新平台。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对符合条件的，支持其申报北京市重点实验室、概念验证、共性技术等创新平台。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三是支持硕博士研究生培养。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针对支撑重点产业发展、高层次复合型人才培养成效突出的校企合作平台，在硕博士研究生招生计划、推免指标、建设经费等方面给予共建高校重点支持。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四是支持科技成果转化应用。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将校企合作平台符合条件的创新成果纳入“三新”产品推荐目录，并在中关村国际技术交易中心进行路演交易。支持医疗卫生机构优先选用平台产出的创新药物和医疗器械，将符合条件的纳入市属医院带量采购范围和《中关村创新医疗器械产品目录》。</w:t>
      </w:r>
    </w:p>
    <w:p w14:paraId="057FD6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附则部分提出本措施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自印发之日起施行，有效期至2028年12月31日。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FDF9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C2178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C2178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2F17AE"/>
    <w:rsid w:val="00026ABB"/>
    <w:rsid w:val="00085A5F"/>
    <w:rsid w:val="000B7E45"/>
    <w:rsid w:val="002C4E6F"/>
    <w:rsid w:val="003B0F32"/>
    <w:rsid w:val="00424733"/>
    <w:rsid w:val="004D42A3"/>
    <w:rsid w:val="0055575A"/>
    <w:rsid w:val="005B5CB1"/>
    <w:rsid w:val="006140F3"/>
    <w:rsid w:val="00720005"/>
    <w:rsid w:val="008E4BF6"/>
    <w:rsid w:val="009E0E42"/>
    <w:rsid w:val="00BE26E0"/>
    <w:rsid w:val="00C3450D"/>
    <w:rsid w:val="00C6037A"/>
    <w:rsid w:val="00CA6A19"/>
    <w:rsid w:val="00D1184C"/>
    <w:rsid w:val="00E524CE"/>
    <w:rsid w:val="00ED2156"/>
    <w:rsid w:val="00F42117"/>
    <w:rsid w:val="028E13EB"/>
    <w:rsid w:val="03FB485E"/>
    <w:rsid w:val="05330B54"/>
    <w:rsid w:val="05B34F44"/>
    <w:rsid w:val="05F31C91"/>
    <w:rsid w:val="06564AA0"/>
    <w:rsid w:val="07343749"/>
    <w:rsid w:val="078A79BE"/>
    <w:rsid w:val="07955E6F"/>
    <w:rsid w:val="07C75C17"/>
    <w:rsid w:val="0890344C"/>
    <w:rsid w:val="09D842F9"/>
    <w:rsid w:val="0A2D3298"/>
    <w:rsid w:val="0AF67B2D"/>
    <w:rsid w:val="0B644CDF"/>
    <w:rsid w:val="0BB54B1E"/>
    <w:rsid w:val="0C7A1645"/>
    <w:rsid w:val="0E0E7702"/>
    <w:rsid w:val="0E231757"/>
    <w:rsid w:val="101963F5"/>
    <w:rsid w:val="111871FF"/>
    <w:rsid w:val="11651A69"/>
    <w:rsid w:val="120622C2"/>
    <w:rsid w:val="12A237FF"/>
    <w:rsid w:val="131958F2"/>
    <w:rsid w:val="134A0A16"/>
    <w:rsid w:val="13AA6DEE"/>
    <w:rsid w:val="187625CA"/>
    <w:rsid w:val="1AD02149"/>
    <w:rsid w:val="1AD5150D"/>
    <w:rsid w:val="1AE67A5D"/>
    <w:rsid w:val="1C82767D"/>
    <w:rsid w:val="1D50131F"/>
    <w:rsid w:val="1E081BFA"/>
    <w:rsid w:val="1EE53CE9"/>
    <w:rsid w:val="1F6F3236"/>
    <w:rsid w:val="21244D9A"/>
    <w:rsid w:val="214F507D"/>
    <w:rsid w:val="22B5238E"/>
    <w:rsid w:val="22C329A2"/>
    <w:rsid w:val="23C24AE3"/>
    <w:rsid w:val="2661459D"/>
    <w:rsid w:val="26952577"/>
    <w:rsid w:val="274E2D73"/>
    <w:rsid w:val="27862EF8"/>
    <w:rsid w:val="279A7D67"/>
    <w:rsid w:val="28C96525"/>
    <w:rsid w:val="290A2CCA"/>
    <w:rsid w:val="29581C87"/>
    <w:rsid w:val="2AD476E1"/>
    <w:rsid w:val="2B397F37"/>
    <w:rsid w:val="2B9D6077"/>
    <w:rsid w:val="2BB77E51"/>
    <w:rsid w:val="2BBB6448"/>
    <w:rsid w:val="2C057779"/>
    <w:rsid w:val="2E133A83"/>
    <w:rsid w:val="2EBA6484"/>
    <w:rsid w:val="2EC648BD"/>
    <w:rsid w:val="2ECE231E"/>
    <w:rsid w:val="2F3237B8"/>
    <w:rsid w:val="2FD47B8E"/>
    <w:rsid w:val="2FE06533"/>
    <w:rsid w:val="33747866"/>
    <w:rsid w:val="33F702EF"/>
    <w:rsid w:val="34864FE8"/>
    <w:rsid w:val="357D027F"/>
    <w:rsid w:val="35973B37"/>
    <w:rsid w:val="35BF4E3C"/>
    <w:rsid w:val="364C4922"/>
    <w:rsid w:val="37E8067A"/>
    <w:rsid w:val="382B337A"/>
    <w:rsid w:val="38F70D45"/>
    <w:rsid w:val="3A86417A"/>
    <w:rsid w:val="3AFD69DF"/>
    <w:rsid w:val="3B7164BD"/>
    <w:rsid w:val="3BD16165"/>
    <w:rsid w:val="3BEB465C"/>
    <w:rsid w:val="3CB72746"/>
    <w:rsid w:val="3DDF370F"/>
    <w:rsid w:val="3E093EB4"/>
    <w:rsid w:val="3E6D18D9"/>
    <w:rsid w:val="3EAE3BA1"/>
    <w:rsid w:val="3FF126EF"/>
    <w:rsid w:val="409A0980"/>
    <w:rsid w:val="40B843B3"/>
    <w:rsid w:val="426C3C56"/>
    <w:rsid w:val="4403785D"/>
    <w:rsid w:val="44041A91"/>
    <w:rsid w:val="447B63D2"/>
    <w:rsid w:val="4516061A"/>
    <w:rsid w:val="465515D1"/>
    <w:rsid w:val="467679E4"/>
    <w:rsid w:val="467D4684"/>
    <w:rsid w:val="4766703A"/>
    <w:rsid w:val="47906638"/>
    <w:rsid w:val="47B916EB"/>
    <w:rsid w:val="49F033BE"/>
    <w:rsid w:val="4A633B90"/>
    <w:rsid w:val="4A7E1BC2"/>
    <w:rsid w:val="4B0D16C0"/>
    <w:rsid w:val="4C982217"/>
    <w:rsid w:val="4CF75453"/>
    <w:rsid w:val="4D096C71"/>
    <w:rsid w:val="4E2F0959"/>
    <w:rsid w:val="4FBB4B14"/>
    <w:rsid w:val="50564992"/>
    <w:rsid w:val="512E314A"/>
    <w:rsid w:val="51C63383"/>
    <w:rsid w:val="52B35942"/>
    <w:rsid w:val="54813591"/>
    <w:rsid w:val="549459BA"/>
    <w:rsid w:val="55132B4F"/>
    <w:rsid w:val="55876A89"/>
    <w:rsid w:val="565E26E5"/>
    <w:rsid w:val="584A7DBF"/>
    <w:rsid w:val="5943175D"/>
    <w:rsid w:val="59CC52AE"/>
    <w:rsid w:val="5AFB3D67"/>
    <w:rsid w:val="5CED3EB9"/>
    <w:rsid w:val="5D804D2D"/>
    <w:rsid w:val="5DCF6480"/>
    <w:rsid w:val="5F8B25FF"/>
    <w:rsid w:val="60385ACB"/>
    <w:rsid w:val="60675E3A"/>
    <w:rsid w:val="626A1B08"/>
    <w:rsid w:val="62B60044"/>
    <w:rsid w:val="62FD1102"/>
    <w:rsid w:val="63363D9B"/>
    <w:rsid w:val="648A4F1F"/>
    <w:rsid w:val="64D94532"/>
    <w:rsid w:val="658C6239"/>
    <w:rsid w:val="67961608"/>
    <w:rsid w:val="67A92190"/>
    <w:rsid w:val="67F85E08"/>
    <w:rsid w:val="682B3AE8"/>
    <w:rsid w:val="68F465CF"/>
    <w:rsid w:val="690C3919"/>
    <w:rsid w:val="6980564E"/>
    <w:rsid w:val="69E46644"/>
    <w:rsid w:val="6D0B1344"/>
    <w:rsid w:val="6D5238C5"/>
    <w:rsid w:val="6DE42BBD"/>
    <w:rsid w:val="6E5F098F"/>
    <w:rsid w:val="713C3BB8"/>
    <w:rsid w:val="71D12CBC"/>
    <w:rsid w:val="71F96A05"/>
    <w:rsid w:val="732E26DE"/>
    <w:rsid w:val="733E6DC5"/>
    <w:rsid w:val="73994ACC"/>
    <w:rsid w:val="74866EE8"/>
    <w:rsid w:val="74CE0AE9"/>
    <w:rsid w:val="75602D56"/>
    <w:rsid w:val="76BF0C3E"/>
    <w:rsid w:val="76E87892"/>
    <w:rsid w:val="776E39F1"/>
    <w:rsid w:val="77DE39AE"/>
    <w:rsid w:val="786A41B8"/>
    <w:rsid w:val="78D54427"/>
    <w:rsid w:val="79413465"/>
    <w:rsid w:val="794E7431"/>
    <w:rsid w:val="79BC6C95"/>
    <w:rsid w:val="7A4F7B0A"/>
    <w:rsid w:val="7B4E1B6F"/>
    <w:rsid w:val="7BC726E9"/>
    <w:rsid w:val="7C8F72B8"/>
    <w:rsid w:val="7DC36587"/>
    <w:rsid w:val="7E684F3A"/>
    <w:rsid w:val="7E6E2528"/>
    <w:rsid w:val="7FBD72C3"/>
    <w:rsid w:val="BE2F17AE"/>
    <w:rsid w:val="D975E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20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1256</Words>
  <Characters>1271</Characters>
  <Lines>40</Lines>
  <Paragraphs>21</Paragraphs>
  <TotalTime>15</TotalTime>
  <ScaleCrop>false</ScaleCrop>
  <LinksUpToDate>false</LinksUpToDate>
  <CharactersWithSpaces>1271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2025-07-18T11:11:00Z</dcterms:created>
  <dc:creator>王磊</dc:creator>
  <cp:lastModifiedBy>yongfu</cp:lastModifiedBy>
  <cp:lastPrinted>2026-02-09T07:00:00Z</cp:lastPrinted>
  <dcterms:modified xsi:type="dcterms:W3CDTF">2026-02-24T07:09:01Z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55CC21C596E3468B9283B3F0A375DE32_13</vt:lpwstr>
  </property>
  <property fmtid="{D5CDD505-2E9C-101B-9397-08002B2CF9AE}" pid="4" name="KSOTemplateDocerSaveRecord">
    <vt:lpwstr>eyJoZGlkIjoiMzQwMmYxMDM1YjJlZTI3NzIzZGY2ZGM3MzZhYjIwNDEiLCJ1c2VySWQiOiI2NjIzNjgwNDEifQ==</vt:lpwstr>
  </property>
</Properties>
</file>