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C9D5D9" w14:textId="136F41E2" w:rsidR="00ED1FA8" w:rsidRDefault="00000000">
      <w:pPr>
        <w:spacing w:line="600" w:lineRule="exact"/>
        <w:rPr>
          <w:rFonts w:asciiTheme="majorEastAsia" w:eastAsiaTheme="majorEastAsia" w:hAnsiTheme="majorEastAsia" w:cstheme="majorEastAsia" w:hint="eastAsia"/>
        </w:rPr>
      </w:pPr>
      <w:r>
        <w:rPr>
          <w:rFonts w:asciiTheme="majorEastAsia" w:eastAsiaTheme="majorEastAsia" w:hAnsiTheme="majorEastAsia" w:cstheme="majorEastAsia" w:hint="eastAsia"/>
        </w:rPr>
        <w:t>附件</w:t>
      </w:r>
      <w:r w:rsidR="00635959">
        <w:rPr>
          <w:rFonts w:asciiTheme="majorEastAsia" w:eastAsiaTheme="majorEastAsia" w:hAnsiTheme="majorEastAsia" w:cstheme="majorEastAsia" w:hint="eastAsia"/>
        </w:rPr>
        <w:t>4</w:t>
      </w:r>
    </w:p>
    <w:p w14:paraId="221DD960" w14:textId="595374ED" w:rsidR="00ED1FA8" w:rsidRDefault="00E832B6">
      <w:pPr>
        <w:adjustRightInd w:val="0"/>
        <w:snapToGrid w:val="0"/>
        <w:spacing w:line="600" w:lineRule="exact"/>
        <w:jc w:val="center"/>
        <w:outlineLvl w:val="0"/>
        <w:rPr>
          <w:rFonts w:ascii="方正小标宋简体" w:eastAsia="方正小标宋简体" w:hAnsi="黑体" w:cs="方正小标宋简体" w:hint="eastAsia"/>
          <w:snapToGrid/>
          <w:kern w:val="2"/>
          <w:sz w:val="44"/>
          <w:szCs w:val="44"/>
        </w:rPr>
      </w:pPr>
      <w:r w:rsidRPr="00E832B6">
        <w:rPr>
          <w:rFonts w:ascii="方正小标宋简体" w:eastAsia="方正小标宋简体" w:hAnsi="黑体" w:cs="方正小标宋简体" w:hint="eastAsia"/>
          <w:snapToGrid/>
          <w:kern w:val="2"/>
          <w:sz w:val="44"/>
          <w:szCs w:val="44"/>
        </w:rPr>
        <w:t>《北京市2026年电力市场化交易方案》《北京市2026年绿色电力交易方案》</w:t>
      </w:r>
      <w:r>
        <w:rPr>
          <w:rFonts w:ascii="方正小标宋简体" w:eastAsia="方正小标宋简体" w:hAnsi="黑体" w:cs="方正小标宋简体" w:hint="eastAsia"/>
          <w:snapToGrid/>
          <w:kern w:val="2"/>
          <w:sz w:val="44"/>
          <w:szCs w:val="44"/>
        </w:rPr>
        <w:t>的解读</w:t>
      </w:r>
    </w:p>
    <w:p w14:paraId="6E28EECC" w14:textId="77777777" w:rsidR="00ED1FA8" w:rsidRDefault="00ED1FA8">
      <w:pPr>
        <w:snapToGrid w:val="0"/>
        <w:spacing w:line="600" w:lineRule="exact"/>
        <w:rPr>
          <w:rFonts w:ascii="仿宋_GB2312" w:hAnsi="Calibri" w:cs="仿宋_GB2312"/>
          <w:snapToGrid/>
          <w:kern w:val="2"/>
        </w:rPr>
      </w:pPr>
    </w:p>
    <w:p w14:paraId="335DE76B"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背景依据</w:t>
      </w:r>
    </w:p>
    <w:p w14:paraId="3483CF82"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为贯彻落实国家发展改革委《关于进一步深化燃煤发电上网电价市场化改革的通知》（</w:t>
      </w:r>
      <w:proofErr w:type="gramStart"/>
      <w:r>
        <w:rPr>
          <w:rFonts w:ascii="仿宋_GB2312" w:hAnsi="Calibri" w:cs="仿宋_GB2312" w:hint="eastAsia"/>
          <w:snapToGrid/>
          <w:kern w:val="2"/>
        </w:rPr>
        <w:t>发改价格</w:t>
      </w:r>
      <w:proofErr w:type="gramEnd"/>
      <w:r>
        <w:rPr>
          <w:rFonts w:ascii="仿宋_GB2312" w:hAnsi="Calibri" w:cs="仿宋_GB2312" w:hint="eastAsia"/>
          <w:snapToGrid/>
          <w:kern w:val="2"/>
        </w:rPr>
        <w:t>〔2021〕1439号）、国家发展改革委《电力市场运行基本规则》（2024年第20号令）、国家发展改革委办公厅、国家能源局综合司《关于有序推进绿色电力交易有关事项的通知》（发改办体改〔2022〕821号）、国家发展改革委、国家能源局《关于印发〈电力中长期交易基本规则-绿色电力交易专章〉的通知》（</w:t>
      </w:r>
      <w:proofErr w:type="gramStart"/>
      <w:r>
        <w:rPr>
          <w:rFonts w:ascii="仿宋_GB2312" w:hAnsi="Calibri" w:cs="仿宋_GB2312" w:hint="eastAsia"/>
          <w:snapToGrid/>
          <w:kern w:val="2"/>
        </w:rPr>
        <w:t>发改能源</w:t>
      </w:r>
      <w:proofErr w:type="gramEnd"/>
      <w:r>
        <w:rPr>
          <w:rFonts w:ascii="仿宋_GB2312" w:hAnsi="Calibri" w:cs="仿宋_GB2312" w:hint="eastAsia"/>
          <w:snapToGrid/>
          <w:kern w:val="2"/>
        </w:rPr>
        <w:t>〔2024〕1123号）、国家发展改革委、国家能源局《关于深化新能源上网电价市场化改革促进新能源高质量发展的通知》（</w:t>
      </w:r>
      <w:proofErr w:type="gramStart"/>
      <w:r>
        <w:rPr>
          <w:rFonts w:ascii="仿宋_GB2312" w:hAnsi="Calibri" w:cs="仿宋_GB2312" w:hint="eastAsia"/>
          <w:snapToGrid/>
          <w:kern w:val="2"/>
        </w:rPr>
        <w:t>发改价格</w:t>
      </w:r>
      <w:proofErr w:type="gramEnd"/>
      <w:r>
        <w:rPr>
          <w:rFonts w:ascii="仿宋_GB2312" w:hAnsi="Calibri" w:cs="仿宋_GB2312" w:hint="eastAsia"/>
          <w:snapToGrid/>
          <w:kern w:val="2"/>
        </w:rPr>
        <w:t>〔2025〕136号）等有关文件要求，充分发挥市场在资源配置中的决定性作用，切实保障电力安全稳定供应，并推动北京市新能源上网电量全面参与市场交易。</w:t>
      </w:r>
    </w:p>
    <w:p w14:paraId="3FBC8DB0"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目标任务</w:t>
      </w:r>
    </w:p>
    <w:p w14:paraId="3F945C26" w14:textId="77777777" w:rsidR="00ED1FA8" w:rsidRDefault="00000000">
      <w:pPr>
        <w:spacing w:line="600" w:lineRule="exact"/>
        <w:ind w:firstLineChars="200" w:firstLine="640"/>
        <w:jc w:val="left"/>
        <w:rPr>
          <w:rFonts w:ascii="仿宋_GB2312" w:hAnsi="Calibri" w:cs="仿宋_GB2312"/>
          <w:snapToGrid/>
          <w:kern w:val="2"/>
        </w:rPr>
      </w:pPr>
      <w:r>
        <w:rPr>
          <w:rFonts w:ascii="仿宋_GB2312" w:hAnsi="Calibri" w:cs="仿宋_GB2312" w:hint="eastAsia"/>
          <w:snapToGrid/>
          <w:kern w:val="2"/>
        </w:rPr>
        <w:t>持续深化电力市场建设，充分发挥市场在资源配置中的决定性作用，确保电力系统的安全、平稳、绿色和高效运行，营造优质的营商环境，推动新能源的高质量发展。稳妥有序组织北京市</w:t>
      </w:r>
      <w:r>
        <w:rPr>
          <w:rFonts w:ascii="仿宋_GB2312" w:hAnsi="Calibri" w:cs="仿宋_GB2312" w:hint="eastAsia"/>
          <w:snapToGrid/>
          <w:kern w:val="2"/>
        </w:rPr>
        <w:lastRenderedPageBreak/>
        <w:t>2026年电力市场化交易，积极引导电力用户参与绿色电力交易，确保完成年度</w:t>
      </w:r>
      <w:proofErr w:type="gramStart"/>
      <w:r>
        <w:rPr>
          <w:rFonts w:ascii="仿宋_GB2312" w:hAnsi="Calibri" w:cs="仿宋_GB2312" w:hint="eastAsia"/>
          <w:snapToGrid/>
          <w:kern w:val="2"/>
        </w:rPr>
        <w:t>绿电交易</w:t>
      </w:r>
      <w:proofErr w:type="gramEnd"/>
      <w:r>
        <w:rPr>
          <w:rFonts w:ascii="仿宋_GB2312" w:hAnsi="Calibri" w:cs="仿宋_GB2312" w:hint="eastAsia"/>
          <w:snapToGrid/>
          <w:kern w:val="2"/>
        </w:rPr>
        <w:t>重点任务，为</w:t>
      </w:r>
      <w:proofErr w:type="gramStart"/>
      <w:r>
        <w:rPr>
          <w:rFonts w:ascii="仿宋_GB2312" w:hAnsi="Calibri" w:cs="仿宋_GB2312" w:hint="eastAsia"/>
          <w:snapToGrid/>
          <w:kern w:val="2"/>
        </w:rPr>
        <w:t>北京市碳达峰</w:t>
      </w:r>
      <w:proofErr w:type="gramEnd"/>
      <w:r>
        <w:rPr>
          <w:rFonts w:ascii="仿宋_GB2312" w:hAnsi="Calibri" w:cs="仿宋_GB2312" w:hint="eastAsia"/>
          <w:snapToGrid/>
          <w:kern w:val="2"/>
        </w:rPr>
        <w:t>、碳中和目标实现提供有力支撑。</w:t>
      </w:r>
    </w:p>
    <w:p w14:paraId="399FF506"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主要内容</w:t>
      </w:r>
    </w:p>
    <w:p w14:paraId="4887AB24" w14:textId="77777777" w:rsidR="00ED1FA8" w:rsidRDefault="00000000">
      <w:pPr>
        <w:spacing w:line="600" w:lineRule="exact"/>
        <w:ind w:firstLineChars="200" w:firstLine="640"/>
        <w:rPr>
          <w:rFonts w:ascii="楷体_GB2312" w:eastAsia="楷体_GB2312" w:hAnsi="楷体" w:cs="楷体" w:hint="eastAsia"/>
          <w:snapToGrid/>
          <w:kern w:val="2"/>
        </w:rPr>
      </w:pPr>
      <w:r>
        <w:rPr>
          <w:rFonts w:ascii="楷体_GB2312" w:eastAsia="楷体_GB2312" w:hAnsi="楷体" w:cs="楷体" w:hint="eastAsia"/>
          <w:snapToGrid/>
          <w:kern w:val="2"/>
        </w:rPr>
        <w:t>（一）《北京市2026年电力市场化交易方案》</w:t>
      </w:r>
    </w:p>
    <w:p w14:paraId="17BD5441"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北京市2026年电力市场化交易方案》全文共分为八部分。其中，第一部分明确了交易电量规模；第二部分明确了市场参与方式；第三部分明确了交易组织安排；第四部分明确了直接交易价格；第五部分明确了结算方式；第六部分为零售交易；第七部分为信息披露；第八部分包含了相关工作要求。主要内容如下：</w:t>
      </w:r>
    </w:p>
    <w:p w14:paraId="555602BA"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1.明确了交易电量规模</w:t>
      </w:r>
    </w:p>
    <w:p w14:paraId="5FB36D7D"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2026年，北京市电力市场化交易总电量规模拟安排950亿千瓦时，其中，直接市场交易规模350亿千瓦时，电网代理购电规模600亿千瓦时。</w:t>
      </w:r>
    </w:p>
    <w:p w14:paraId="017C3F0A"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2.明确了市场参与方式</w:t>
      </w:r>
    </w:p>
    <w:p w14:paraId="168B01F5"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执行工商业电价的电力用户原则上全部直接参与市场交易。对暂未直接参与市场交易的用户，</w:t>
      </w:r>
      <w:proofErr w:type="gramStart"/>
      <w:r>
        <w:rPr>
          <w:rFonts w:ascii="仿宋_GB2312" w:hAnsi="Calibri" w:cs="仿宋_GB2312" w:hint="eastAsia"/>
          <w:snapToGrid/>
          <w:kern w:val="2"/>
        </w:rPr>
        <w:t>由国网北京市</w:t>
      </w:r>
      <w:proofErr w:type="gramEnd"/>
      <w:r>
        <w:rPr>
          <w:rFonts w:ascii="仿宋_GB2312" w:hAnsi="Calibri" w:cs="仿宋_GB2312" w:hint="eastAsia"/>
          <w:snapToGrid/>
          <w:kern w:val="2"/>
        </w:rPr>
        <w:t>电力公司代理购电。</w:t>
      </w:r>
    </w:p>
    <w:p w14:paraId="6DD6C4A2"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3.明确了交易方式</w:t>
      </w:r>
    </w:p>
    <w:p w14:paraId="63425BC5" w14:textId="77777777" w:rsidR="00ED1FA8" w:rsidRDefault="00000000">
      <w:pPr>
        <w:spacing w:line="600" w:lineRule="exact"/>
        <w:ind w:firstLineChars="200" w:firstLine="640"/>
        <w:rPr>
          <w:rFonts w:ascii="仿宋_GB2312" w:hAnsi="仿宋_GB2312" w:cs="仿宋_GB2312" w:hint="eastAsia"/>
          <w14:ligatures w14:val="standardContextual"/>
        </w:rPr>
      </w:pPr>
      <w:r>
        <w:rPr>
          <w:rFonts w:ascii="仿宋_GB2312" w:hAnsi="仿宋_GB2312" w:cs="仿宋_GB2312" w:hint="eastAsia"/>
          <w14:ligatures w14:val="standardContextual"/>
        </w:rPr>
        <w:t>2026年北京市采用双边协商、集中交易等方式开展分时段电力中长期交易。交易周期包含年度、月度、月内等。年度交易</w:t>
      </w:r>
      <w:r>
        <w:rPr>
          <w:rFonts w:ascii="仿宋_GB2312" w:hAnsi="仿宋_GB2312" w:cs="仿宋_GB2312" w:hint="eastAsia"/>
          <w14:ligatures w14:val="standardContextual"/>
        </w:rPr>
        <w:lastRenderedPageBreak/>
        <w:t>按月申报，以双边协商为主，月度、月内交易以集中竞价为主。采用双边协商方式时，发、用双方协商确定电量曲线；当采用集中竞价交易时，成交电量默认按北京典型负荷曲线电量比例分解。</w:t>
      </w:r>
    </w:p>
    <w:p w14:paraId="03C77FCB"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4.明确了直接交易价格</w:t>
      </w:r>
    </w:p>
    <w:p w14:paraId="177E3F74" w14:textId="77777777" w:rsidR="00ED1FA8" w:rsidRDefault="00000000">
      <w:pPr>
        <w:widowControl/>
        <w:spacing w:line="600" w:lineRule="exact"/>
        <w:ind w:firstLineChars="200" w:firstLine="640"/>
        <w:rPr>
          <w:rFonts w:hint="eastAsia"/>
          <w:snapToGrid/>
          <w:kern w:val="2"/>
          <w:szCs w:val="24"/>
          <w14:ligatures w14:val="standardContextual"/>
        </w:rPr>
      </w:pPr>
      <w:r>
        <w:rPr>
          <w:rFonts w:ascii="仿宋_GB2312" w:hAnsi="仿宋_GB2312" w:cs="仿宋_GB2312" w:hint="eastAsia"/>
          <w14:ligatures w14:val="standardContextual"/>
        </w:rPr>
        <w:t>燃煤发电市场交易价格在“基准价+上下浮动”范围内形成，基准价适用</w:t>
      </w:r>
      <w:proofErr w:type="gramStart"/>
      <w:r>
        <w:rPr>
          <w:rFonts w:ascii="仿宋_GB2312" w:hAnsi="仿宋_GB2312" w:cs="仿宋_GB2312" w:hint="eastAsia"/>
          <w14:ligatures w14:val="standardContextual"/>
        </w:rPr>
        <w:t>落地省</w:t>
      </w:r>
      <w:proofErr w:type="gramEnd"/>
      <w:r>
        <w:rPr>
          <w:rFonts w:ascii="仿宋_GB2312" w:hAnsi="仿宋_GB2312" w:cs="仿宋_GB2312" w:hint="eastAsia"/>
          <w14:ligatures w14:val="standardContextual"/>
        </w:rPr>
        <w:t>基准价水平，浮动范围原则上均不超过20%。鼓励购</w:t>
      </w:r>
      <w:proofErr w:type="gramStart"/>
      <w:r>
        <w:rPr>
          <w:rFonts w:ascii="仿宋_GB2312" w:hAnsi="仿宋_GB2312" w:cs="仿宋_GB2312" w:hint="eastAsia"/>
          <w14:ligatures w14:val="standardContextual"/>
        </w:rPr>
        <w:t>售双方</w:t>
      </w:r>
      <w:proofErr w:type="gramEnd"/>
      <w:r>
        <w:rPr>
          <w:rFonts w:ascii="仿宋_GB2312" w:hAnsi="仿宋_GB2312" w:cs="仿宋_GB2312" w:hint="eastAsia"/>
          <w14:ligatures w14:val="standardContextual"/>
        </w:rPr>
        <w:t>在中长期合同中设立交易电价随燃料成本变化合理浮动条款，实行交易价格与煤炭价格挂钩联动，保障能源稳定供应。</w:t>
      </w:r>
    </w:p>
    <w:p w14:paraId="6154FB2A"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5.明确了偏差结算</w:t>
      </w:r>
    </w:p>
    <w:p w14:paraId="143452AD"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北京市新能源发电企业的偏差结算方式按照《北京市2026年绿色电力交易方案》执行。</w:t>
      </w:r>
    </w:p>
    <w:p w14:paraId="36547736"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2026年用户</w:t>
      </w:r>
      <w:proofErr w:type="gramStart"/>
      <w:r>
        <w:rPr>
          <w:rFonts w:ascii="仿宋_GB2312" w:hAnsi="仿宋_GB2312" w:cs="仿宋_GB2312" w:hint="eastAsia"/>
          <w:snapToGrid/>
          <w:kern w:val="2"/>
          <w14:ligatures w14:val="standardContextual"/>
        </w:rPr>
        <w:t>侧合同</w:t>
      </w:r>
      <w:proofErr w:type="gramEnd"/>
      <w:r>
        <w:rPr>
          <w:rFonts w:ascii="仿宋_GB2312" w:hAnsi="仿宋_GB2312" w:cs="仿宋_GB2312" w:hint="eastAsia"/>
          <w:snapToGrid/>
          <w:kern w:val="2"/>
          <w14:ligatures w14:val="standardContextual"/>
        </w:rPr>
        <w:t>偏差电量部分按照以下价格结算：</w:t>
      </w:r>
    </w:p>
    <w:p w14:paraId="616E2D94"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超用电量结算电价：max[京津唐当月月度竞价出清价、批发用户、售电公司当月中长期交易合同电能量均价]*U</w:t>
      </w:r>
      <w:r>
        <w:rPr>
          <w:rFonts w:ascii="仿宋_GB2312" w:hAnsi="仿宋_GB2312" w:cs="仿宋_GB2312" w:hint="eastAsia"/>
          <w:snapToGrid/>
          <w:kern w:val="2"/>
          <w:vertAlign w:val="subscript"/>
          <w14:ligatures w14:val="standardContextual"/>
        </w:rPr>
        <w:t>1</w:t>
      </w:r>
      <w:r>
        <w:rPr>
          <w:rFonts w:ascii="仿宋_GB2312" w:hAnsi="仿宋_GB2312" w:cs="仿宋_GB2312" w:hint="eastAsia"/>
          <w:snapToGrid/>
          <w:kern w:val="2"/>
          <w14:ligatures w14:val="standardContextual"/>
        </w:rPr>
        <w:t>。</w:t>
      </w:r>
    </w:p>
    <w:p w14:paraId="5AD7743C"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少用电量结算电价：min[京津唐当月月度竞价出清价、批发用户、售电公司当月中长期交易合同电能量均价]*U</w:t>
      </w:r>
      <w:r>
        <w:rPr>
          <w:rFonts w:ascii="仿宋_GB2312" w:hAnsi="仿宋_GB2312" w:cs="仿宋_GB2312" w:hint="eastAsia"/>
          <w:snapToGrid/>
          <w:kern w:val="2"/>
          <w:vertAlign w:val="subscript"/>
          <w14:ligatures w14:val="standardContextual"/>
        </w:rPr>
        <w:t>2</w:t>
      </w:r>
      <w:r>
        <w:rPr>
          <w:rFonts w:ascii="仿宋_GB2312" w:hAnsi="仿宋_GB2312" w:cs="仿宋_GB2312" w:hint="eastAsia"/>
          <w:snapToGrid/>
          <w:kern w:val="2"/>
          <w14:ligatures w14:val="standardContextual"/>
        </w:rPr>
        <w:t>。</w:t>
      </w:r>
    </w:p>
    <w:p w14:paraId="16930A1A"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2026年批发用户、售电公司偏差结算按照阶梯方式执行，具体如下：</w:t>
      </w:r>
    </w:p>
    <w:p w14:paraId="21F734EE"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当K∈[-5%,5%]时,U</w:t>
      </w:r>
      <w:r>
        <w:rPr>
          <w:rFonts w:ascii="仿宋_GB2312" w:hAnsi="仿宋_GB2312" w:cs="仿宋_GB2312" w:hint="eastAsia"/>
          <w:snapToGrid/>
          <w:kern w:val="2"/>
          <w:vertAlign w:val="subscript"/>
          <w14:ligatures w14:val="standardContextual"/>
        </w:rPr>
        <w:t>1</w:t>
      </w:r>
      <w:r>
        <w:rPr>
          <w:rFonts w:ascii="仿宋_GB2312" w:hAnsi="仿宋_GB2312" w:cs="仿宋_GB2312" w:hint="eastAsia"/>
          <w:snapToGrid/>
          <w:kern w:val="2"/>
          <w14:ligatures w14:val="standardContextual"/>
        </w:rPr>
        <w:t>=1,U</w:t>
      </w:r>
      <w:r>
        <w:rPr>
          <w:rFonts w:ascii="仿宋_GB2312" w:hAnsi="仿宋_GB2312" w:cs="仿宋_GB2312" w:hint="eastAsia"/>
          <w:snapToGrid/>
          <w:kern w:val="2"/>
          <w:vertAlign w:val="subscript"/>
          <w14:ligatures w14:val="standardContextual"/>
        </w:rPr>
        <w:t>2</w:t>
      </w:r>
      <w:r>
        <w:rPr>
          <w:rFonts w:ascii="仿宋_GB2312" w:hAnsi="仿宋_GB2312" w:cs="仿宋_GB2312" w:hint="eastAsia"/>
          <w:snapToGrid/>
          <w:kern w:val="2"/>
          <w14:ligatures w14:val="standardContextual"/>
        </w:rPr>
        <w:t>=1;</w:t>
      </w:r>
    </w:p>
    <w:p w14:paraId="23B64BC1"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lastRenderedPageBreak/>
        <w:t>当K∈[-15%,-5%）∪（5%,15%]时,U</w:t>
      </w:r>
      <w:r>
        <w:rPr>
          <w:rFonts w:ascii="仿宋_GB2312" w:hAnsi="仿宋_GB2312" w:cs="仿宋_GB2312" w:hint="eastAsia"/>
          <w:snapToGrid/>
          <w:kern w:val="2"/>
          <w:vertAlign w:val="subscript"/>
          <w14:ligatures w14:val="standardContextual"/>
        </w:rPr>
        <w:t>1</w:t>
      </w:r>
      <w:r>
        <w:rPr>
          <w:rFonts w:ascii="仿宋_GB2312" w:hAnsi="仿宋_GB2312" w:cs="仿宋_GB2312" w:hint="eastAsia"/>
          <w:snapToGrid/>
          <w:kern w:val="2"/>
          <w14:ligatures w14:val="standardContextual"/>
        </w:rPr>
        <w:t>=1.1,U</w:t>
      </w:r>
      <w:r>
        <w:rPr>
          <w:rFonts w:ascii="仿宋_GB2312" w:hAnsi="仿宋_GB2312" w:cs="仿宋_GB2312" w:hint="eastAsia"/>
          <w:snapToGrid/>
          <w:kern w:val="2"/>
          <w:vertAlign w:val="subscript"/>
          <w14:ligatures w14:val="standardContextual"/>
        </w:rPr>
        <w:t>2</w:t>
      </w:r>
      <w:r>
        <w:rPr>
          <w:rFonts w:ascii="仿宋_GB2312" w:hAnsi="仿宋_GB2312" w:cs="仿宋_GB2312" w:hint="eastAsia"/>
          <w:snapToGrid/>
          <w:kern w:val="2"/>
          <w14:ligatures w14:val="standardContextual"/>
        </w:rPr>
        <w:t>=0.9;</w:t>
      </w:r>
    </w:p>
    <w:p w14:paraId="2384F4EB"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当K∈[-40%,-15%）∪（15%,40%]时,U</w:t>
      </w:r>
      <w:r>
        <w:rPr>
          <w:rFonts w:ascii="仿宋_GB2312" w:hAnsi="仿宋_GB2312" w:cs="仿宋_GB2312" w:hint="eastAsia"/>
          <w:snapToGrid/>
          <w:kern w:val="2"/>
          <w:vertAlign w:val="subscript"/>
          <w14:ligatures w14:val="standardContextual"/>
        </w:rPr>
        <w:t>1</w:t>
      </w:r>
      <w:r>
        <w:rPr>
          <w:rFonts w:ascii="仿宋_GB2312" w:hAnsi="仿宋_GB2312" w:cs="仿宋_GB2312" w:hint="eastAsia"/>
          <w:snapToGrid/>
          <w:kern w:val="2"/>
          <w14:ligatures w14:val="standardContextual"/>
        </w:rPr>
        <w:t>=1.15,U</w:t>
      </w:r>
      <w:r>
        <w:rPr>
          <w:rFonts w:ascii="仿宋_GB2312" w:hAnsi="仿宋_GB2312" w:cs="仿宋_GB2312" w:hint="eastAsia"/>
          <w:snapToGrid/>
          <w:kern w:val="2"/>
          <w:vertAlign w:val="subscript"/>
          <w14:ligatures w14:val="standardContextual"/>
        </w:rPr>
        <w:t>2</w:t>
      </w:r>
      <w:r>
        <w:rPr>
          <w:rFonts w:ascii="仿宋_GB2312" w:hAnsi="仿宋_GB2312" w:cs="仿宋_GB2312" w:hint="eastAsia"/>
          <w:snapToGrid/>
          <w:kern w:val="2"/>
          <w14:ligatures w14:val="standardContextual"/>
        </w:rPr>
        <w:t>=0.85;</w:t>
      </w:r>
    </w:p>
    <w:p w14:paraId="3EB4B1FD"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当K∈[-100%,-40%）∪（40%,+∞）时,U</w:t>
      </w:r>
      <w:r>
        <w:rPr>
          <w:rFonts w:ascii="仿宋_GB2312" w:hAnsi="仿宋_GB2312" w:cs="仿宋_GB2312" w:hint="eastAsia"/>
          <w:snapToGrid/>
          <w:kern w:val="2"/>
          <w:vertAlign w:val="subscript"/>
          <w14:ligatures w14:val="standardContextual"/>
        </w:rPr>
        <w:t>1</w:t>
      </w:r>
      <w:r>
        <w:rPr>
          <w:rFonts w:ascii="仿宋_GB2312" w:hAnsi="仿宋_GB2312" w:cs="仿宋_GB2312" w:hint="eastAsia"/>
          <w:snapToGrid/>
          <w:kern w:val="2"/>
          <w14:ligatures w14:val="standardContextual"/>
        </w:rPr>
        <w:t>=1.2,U</w:t>
      </w:r>
      <w:r>
        <w:rPr>
          <w:rFonts w:ascii="仿宋_GB2312" w:hAnsi="仿宋_GB2312" w:cs="仿宋_GB2312" w:hint="eastAsia"/>
          <w:snapToGrid/>
          <w:kern w:val="2"/>
          <w:vertAlign w:val="subscript"/>
          <w14:ligatures w14:val="standardContextual"/>
        </w:rPr>
        <w:t>2</w:t>
      </w:r>
      <w:r>
        <w:rPr>
          <w:rFonts w:ascii="仿宋_GB2312" w:hAnsi="仿宋_GB2312" w:cs="仿宋_GB2312" w:hint="eastAsia"/>
          <w:snapToGrid/>
          <w:kern w:val="2"/>
          <w14:ligatures w14:val="standardContextual"/>
        </w:rPr>
        <w:t>=0.8。</w:t>
      </w:r>
    </w:p>
    <w:p w14:paraId="351D0FDA"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后期根据北京市场运行情况，适时调整调节系数并发布。电网企业代理购电产生的偏差电量，按照京津唐电网月度竞价出清价格结算。</w:t>
      </w:r>
    </w:p>
    <w:p w14:paraId="36F5E8FA"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6.明确了零售价格</w:t>
      </w:r>
    </w:p>
    <w:p w14:paraId="12F77CF0" w14:textId="77777777" w:rsidR="00ED1FA8" w:rsidRDefault="00000000">
      <w:pPr>
        <w:spacing w:line="600" w:lineRule="exact"/>
        <w:ind w:firstLineChars="200" w:firstLine="640"/>
        <w:rPr>
          <w:rFonts w:ascii="仿宋_GB2312" w:hAnsi="仿宋_GB2312" w:cs="仿宋_GB2312" w:hint="eastAsia"/>
          <w14:ligatures w14:val="standardContextual"/>
        </w:rPr>
      </w:pPr>
      <w:r>
        <w:rPr>
          <w:rFonts w:ascii="仿宋_GB2312" w:hAnsi="仿宋_GB2312" w:cs="仿宋_GB2312" w:hint="eastAsia"/>
          <w14:ligatures w14:val="standardContextual"/>
        </w:rPr>
        <w:t>零售合同的电能</w:t>
      </w:r>
      <w:proofErr w:type="gramStart"/>
      <w:r>
        <w:rPr>
          <w:rFonts w:ascii="仿宋_GB2312" w:hAnsi="仿宋_GB2312" w:cs="仿宋_GB2312" w:hint="eastAsia"/>
          <w14:ligatures w14:val="standardContextual"/>
        </w:rPr>
        <w:t>量价格</w:t>
      </w:r>
      <w:proofErr w:type="gramEnd"/>
      <w:r>
        <w:rPr>
          <w:rFonts w:ascii="仿宋_GB2312" w:hAnsi="仿宋_GB2312" w:cs="仿宋_GB2312" w:hint="eastAsia"/>
          <w14:ligatures w14:val="standardContextual"/>
        </w:rPr>
        <w:t>在“北京燃煤基准价±20%”范围内形成。零售用户与售电公司结算的电能</w:t>
      </w:r>
      <w:proofErr w:type="gramStart"/>
      <w:r>
        <w:rPr>
          <w:rFonts w:ascii="仿宋_GB2312" w:hAnsi="仿宋_GB2312" w:cs="仿宋_GB2312" w:hint="eastAsia"/>
          <w14:ligatures w14:val="standardContextual"/>
        </w:rPr>
        <w:t>量价格</w:t>
      </w:r>
      <w:proofErr w:type="gramEnd"/>
      <w:r>
        <w:rPr>
          <w:rFonts w:ascii="仿宋_GB2312" w:hAnsi="仿宋_GB2312" w:cs="仿宋_GB2312" w:hint="eastAsia"/>
          <w14:ligatures w14:val="standardContextual"/>
        </w:rPr>
        <w:t>不包含煤电容量电价。</w:t>
      </w:r>
    </w:p>
    <w:p w14:paraId="3B80CCEB"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7.明确了信息披露</w:t>
      </w:r>
    </w:p>
    <w:p w14:paraId="57422305" w14:textId="77777777" w:rsidR="00ED1FA8" w:rsidRDefault="00000000">
      <w:pPr>
        <w:spacing w:line="600" w:lineRule="exact"/>
        <w:ind w:firstLineChars="200" w:firstLine="640"/>
        <w:rPr>
          <w:rFonts w:ascii="仿宋_GB2312" w:hAnsi="仿宋_GB2312" w:cs="仿宋_GB2312" w:hint="eastAsia"/>
          <w14:ligatures w14:val="standardContextual"/>
        </w:rPr>
      </w:pPr>
      <w:r>
        <w:rPr>
          <w:rFonts w:ascii="仿宋_GB2312" w:hAnsi="仿宋_GB2312" w:cs="仿宋_GB2312" w:hint="eastAsia"/>
          <w14:ligatures w14:val="standardContextual"/>
        </w:rPr>
        <w:t>售电公司、电力用户在参与市场交易前，应按照信息披露基本规则要求完成信息披露。首都电力交易中心每年向市城市管理委报送披露情况。按照信息披露基本规则，首都电力交易中心定期披露售电公司相关信息，便于零售用户查询使用，按月披露市场结算总体情况及分类构成情况。</w:t>
      </w:r>
    </w:p>
    <w:p w14:paraId="1F4653E1"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8.明确了相关工作要求</w:t>
      </w:r>
    </w:p>
    <w:p w14:paraId="680CA924" w14:textId="77777777" w:rsidR="00ED1FA8" w:rsidRDefault="00000000">
      <w:pPr>
        <w:spacing w:line="600" w:lineRule="exact"/>
        <w:ind w:firstLineChars="200" w:firstLine="640"/>
        <w:rPr>
          <w:rFonts w:ascii="仿宋_GB2312" w:hAnsi="仿宋_GB2312" w:cs="仿宋_GB2312" w:hint="eastAsia"/>
          <w:snapToGrid/>
          <w:color w:val="000000"/>
          <w:kern w:val="2"/>
          <w:szCs w:val="36"/>
          <w14:ligatures w14:val="standardContextual"/>
        </w:rPr>
      </w:pPr>
      <w:r>
        <w:rPr>
          <w:rFonts w:ascii="仿宋_GB2312" w:hAnsi="仿宋_GB2312" w:cs="仿宋_GB2312" w:hint="eastAsia"/>
          <w:snapToGrid/>
          <w:color w:val="000000"/>
          <w:kern w:val="2"/>
          <w:szCs w:val="36"/>
          <w14:ligatures w14:val="standardContextual"/>
        </w:rPr>
        <w:t>（1）电力用户在同一合同周期内仅可与一家售电公司确立零售服务关系。售电公司不能代理发电企业参加交易。原则上，售电公司</w:t>
      </w:r>
      <w:proofErr w:type="gramStart"/>
      <w:r>
        <w:rPr>
          <w:rFonts w:ascii="仿宋_GB2312" w:hAnsi="仿宋_GB2312" w:cs="仿宋_GB2312" w:hint="eastAsia"/>
          <w:snapToGrid/>
          <w:color w:val="000000"/>
          <w:kern w:val="2"/>
          <w:szCs w:val="36"/>
          <w14:ligatures w14:val="standardContextual"/>
        </w:rPr>
        <w:t>绿电交易</w:t>
      </w:r>
      <w:proofErr w:type="gramEnd"/>
      <w:r>
        <w:rPr>
          <w:rFonts w:ascii="仿宋_GB2312" w:hAnsi="仿宋_GB2312" w:cs="仿宋_GB2312" w:hint="eastAsia"/>
          <w:snapToGrid/>
          <w:color w:val="000000"/>
          <w:kern w:val="2"/>
          <w:szCs w:val="36"/>
          <w14:ligatures w14:val="standardContextual"/>
        </w:rPr>
        <w:t>电量需全部分配至零售用户。零售用户更换售电公司时，若涉及到多年期交易合同，须由几</w:t>
      </w:r>
      <w:proofErr w:type="gramStart"/>
      <w:r>
        <w:rPr>
          <w:rFonts w:ascii="仿宋_GB2312" w:hAnsi="仿宋_GB2312" w:cs="仿宋_GB2312" w:hint="eastAsia"/>
          <w:snapToGrid/>
          <w:color w:val="000000"/>
          <w:kern w:val="2"/>
          <w:szCs w:val="36"/>
          <w14:ligatures w14:val="standardContextual"/>
        </w:rPr>
        <w:t>方主体</w:t>
      </w:r>
      <w:proofErr w:type="gramEnd"/>
      <w:r>
        <w:rPr>
          <w:rFonts w:ascii="仿宋_GB2312" w:hAnsi="仿宋_GB2312" w:cs="仿宋_GB2312" w:hint="eastAsia"/>
          <w:snapToGrid/>
          <w:color w:val="000000"/>
          <w:kern w:val="2"/>
          <w:szCs w:val="36"/>
          <w14:ligatures w14:val="standardContextual"/>
        </w:rPr>
        <w:t>共同协商一</w:t>
      </w:r>
      <w:r>
        <w:rPr>
          <w:rFonts w:ascii="仿宋_GB2312" w:hAnsi="仿宋_GB2312" w:cs="仿宋_GB2312" w:hint="eastAsia"/>
          <w:snapToGrid/>
          <w:color w:val="000000"/>
          <w:kern w:val="2"/>
          <w:szCs w:val="36"/>
          <w14:ligatures w14:val="standardContextual"/>
        </w:rPr>
        <w:lastRenderedPageBreak/>
        <w:t>致后，进行售电公司更换。签订多年期交易合同的售电公司、零售用户应注意多年期交易合同期限与交易平台中代理关系绑定期限对应。</w:t>
      </w:r>
    </w:p>
    <w:p w14:paraId="48C1B214" w14:textId="77777777" w:rsidR="00ED1FA8" w:rsidRDefault="00000000">
      <w:pPr>
        <w:spacing w:line="600" w:lineRule="exact"/>
        <w:ind w:firstLineChars="200" w:firstLine="640"/>
        <w:rPr>
          <w:rFonts w:ascii="仿宋_GB2312" w:hAnsi="仿宋_GB2312" w:cs="仿宋_GB2312" w:hint="eastAsia"/>
          <w14:ligatures w14:val="standardContextual"/>
        </w:rPr>
      </w:pPr>
      <w:r>
        <w:rPr>
          <w:rFonts w:ascii="仿宋_GB2312" w:hAnsi="仿宋_GB2312" w:cs="仿宋_GB2312" w:hint="eastAsia"/>
          <w:snapToGrid/>
          <w:color w:val="000000"/>
          <w:kern w:val="2"/>
          <w:szCs w:val="36"/>
          <w14:ligatures w14:val="standardContextual"/>
        </w:rPr>
        <w:t>（2）鼓励经营主体签订一年期以上的电力中长期合同。各类经营主体应综合考虑合同执行情况及市场变化因素，合理签订中长期合同</w:t>
      </w:r>
      <w:r>
        <w:rPr>
          <w:rFonts w:ascii="仿宋_GB2312" w:hAnsi="仿宋_GB2312" w:cs="仿宋_GB2312" w:hint="eastAsia"/>
          <w14:ligatures w14:val="standardContextual"/>
        </w:rPr>
        <w:t>。原则上，售电公司应充分调研其代理的零售用户用电需求后参与批发交易，做到批发交易电量与零售用户用电需求匹配。</w:t>
      </w:r>
    </w:p>
    <w:p w14:paraId="49D9879A"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仿宋_GB2312" w:cs="仿宋_GB2312" w:hint="eastAsia"/>
          <w:snapToGrid/>
          <w:kern w:val="2"/>
          <w14:ligatures w14:val="standardContextual"/>
        </w:rPr>
        <w:t>（3）2026年，北京市承担消纳责任的经营主体年度最低消纳责任权重预期性指标暂定为31.6%（非水30.0%），具体消纳责任权重以国家能源局正式发布的约束性指标为准。鼓励承担消纳责任的经营主体通过绿色电力交易、绿证交易等方式完成责任权重</w:t>
      </w:r>
      <w:r>
        <w:rPr>
          <w:rFonts w:ascii="仿宋_GB2312" w:hAnsi="Calibri" w:cs="仿宋_GB2312" w:hint="eastAsia"/>
          <w:snapToGrid/>
          <w:kern w:val="2"/>
        </w:rPr>
        <w:t>。</w:t>
      </w:r>
    </w:p>
    <w:p w14:paraId="3933ECB9"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仿宋_GB2312" w:cs="仿宋_GB2312" w:hint="eastAsia"/>
          <w:snapToGrid/>
          <w:kern w:val="2"/>
          <w14:ligatures w14:val="standardContextual"/>
        </w:rPr>
        <w:t>（4）</w:t>
      </w:r>
      <w:r>
        <w:rPr>
          <w:rFonts w:ascii="仿宋_GB2312" w:hAnsi="Calibri" w:cs="仿宋_GB2312" w:hint="eastAsia"/>
          <w:snapToGrid/>
          <w:kern w:val="2"/>
        </w:rPr>
        <w:t>首都电力交易中心负责组织发电企业、售电公司与批发用户，适时开展分时段电力交易相关培训及模拟测试工作。本市将根据模拟测试情况，适时对交易方式</w:t>
      </w:r>
      <w:proofErr w:type="gramStart"/>
      <w:r>
        <w:rPr>
          <w:rFonts w:ascii="仿宋_GB2312" w:hAnsi="Calibri" w:cs="仿宋_GB2312" w:hint="eastAsia"/>
          <w:snapToGrid/>
          <w:kern w:val="2"/>
        </w:rPr>
        <w:t>作出</w:t>
      </w:r>
      <w:proofErr w:type="gramEnd"/>
      <w:r>
        <w:rPr>
          <w:rFonts w:ascii="仿宋_GB2312" w:hAnsi="Calibri" w:cs="仿宋_GB2312" w:hint="eastAsia"/>
          <w:snapToGrid/>
          <w:kern w:val="2"/>
        </w:rPr>
        <w:t>调整</w:t>
      </w:r>
    </w:p>
    <w:p w14:paraId="180D3D84" w14:textId="77777777" w:rsidR="00ED1FA8" w:rsidRDefault="00000000">
      <w:pPr>
        <w:spacing w:line="600" w:lineRule="exact"/>
        <w:ind w:firstLineChars="200" w:firstLine="640"/>
        <w:rPr>
          <w:rFonts w:ascii="楷体_GB2312" w:eastAsia="楷体_GB2312" w:hAnsi="楷体" w:cs="楷体" w:hint="eastAsia"/>
          <w:snapToGrid/>
          <w:kern w:val="2"/>
          <w14:ligatures w14:val="standardContextual"/>
        </w:rPr>
      </w:pPr>
      <w:r>
        <w:rPr>
          <w:rFonts w:ascii="楷体_GB2312" w:eastAsia="楷体_GB2312" w:hAnsi="楷体" w:cs="楷体" w:hint="eastAsia"/>
          <w:snapToGrid/>
          <w:kern w:val="2"/>
          <w14:ligatures w14:val="standardContextual"/>
        </w:rPr>
        <w:t>（二）</w:t>
      </w:r>
      <w:bookmarkStart w:id="0" w:name="_Hlk211505735"/>
      <w:r>
        <w:rPr>
          <w:rFonts w:ascii="楷体_GB2312" w:eastAsia="楷体_GB2312" w:hAnsi="楷体" w:cs="楷体" w:hint="eastAsia"/>
          <w:snapToGrid/>
          <w:kern w:val="2"/>
          <w14:ligatures w14:val="standardContextual"/>
        </w:rPr>
        <w:t>《北京市2026年绿色电力交易方案》</w:t>
      </w:r>
      <w:bookmarkEnd w:id="0"/>
    </w:p>
    <w:p w14:paraId="4EFDAF4B" w14:textId="77777777" w:rsidR="00ED1FA8" w:rsidRDefault="00000000">
      <w:pPr>
        <w:spacing w:line="600" w:lineRule="exact"/>
        <w:ind w:firstLineChars="200" w:firstLine="640"/>
        <w:rPr>
          <w:rFonts w:ascii="仿宋_GB2312" w:hAnsi="仿宋_GB2312" w:cs="仿宋_GB2312" w:hint="eastAsia"/>
          <w:snapToGrid/>
          <w:color w:val="000000"/>
          <w:kern w:val="2"/>
          <w:shd w:val="clear" w:color="auto" w:fill="FFFFFF"/>
          <w14:ligatures w14:val="standardContextual"/>
        </w:rPr>
      </w:pPr>
      <w:r>
        <w:rPr>
          <w:rFonts w:ascii="仿宋_GB2312" w:hAnsi="仿宋_GB2312" w:cs="仿宋_GB2312" w:hint="eastAsia"/>
          <w:snapToGrid/>
          <w:color w:val="000000"/>
          <w:kern w:val="2"/>
          <w:shd w:val="clear" w:color="auto" w:fill="FFFFFF"/>
          <w14:ligatures w14:val="standardContextual"/>
        </w:rPr>
        <w:t>《北京市2026年绿色电力交易方案》全文共分为八部分。其中，第一部分明确了绿色电力交易定义；第二部分明确了经营主体；第三部分明确了交易品种及交易方式；第四部分为交易安排；第五部分为交易组织；第六部</w:t>
      </w:r>
      <w:proofErr w:type="gramStart"/>
      <w:r>
        <w:rPr>
          <w:rFonts w:ascii="仿宋_GB2312" w:hAnsi="仿宋_GB2312" w:cs="仿宋_GB2312" w:hint="eastAsia"/>
          <w:snapToGrid/>
          <w:color w:val="000000"/>
          <w:kern w:val="2"/>
          <w:shd w:val="clear" w:color="auto" w:fill="FFFFFF"/>
          <w14:ligatures w14:val="standardContextual"/>
        </w:rPr>
        <w:t>分明确</w:t>
      </w:r>
      <w:proofErr w:type="gramEnd"/>
      <w:r>
        <w:rPr>
          <w:rFonts w:ascii="仿宋_GB2312" w:hAnsi="仿宋_GB2312" w:cs="仿宋_GB2312" w:hint="eastAsia"/>
          <w:snapToGrid/>
          <w:color w:val="000000"/>
          <w:kern w:val="2"/>
          <w:shd w:val="clear" w:color="auto" w:fill="FFFFFF"/>
          <w14:ligatures w14:val="standardContextual"/>
        </w:rPr>
        <w:t>了交易结算；第七部分</w:t>
      </w:r>
      <w:r>
        <w:rPr>
          <w:rFonts w:ascii="仿宋_GB2312" w:hAnsi="仿宋_GB2312" w:cs="仿宋_GB2312" w:hint="eastAsia"/>
          <w:snapToGrid/>
          <w:color w:val="000000"/>
          <w:kern w:val="2"/>
          <w:shd w:val="clear" w:color="auto" w:fill="FFFFFF"/>
          <w14:ligatures w14:val="standardContextual"/>
        </w:rPr>
        <w:lastRenderedPageBreak/>
        <w:t>规定了绿证划转；第八部分包含了其他要求。主要内容如下：</w:t>
      </w:r>
    </w:p>
    <w:p w14:paraId="753AAEE1"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1.明确了绿色电力交易定义</w:t>
      </w:r>
    </w:p>
    <w:p w14:paraId="6753D763"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绿色电力交易是指以绿色电力和对应绿色电力环境价值为标的物的电力交易品种，交易电力同时提供国家核发的可再生能源绿色电力证书，用以满足发电企业、售电公司电力用户等出售、购买绿色电力的需求。初期，参与绿色电力交易的发电</w:t>
      </w:r>
      <w:proofErr w:type="gramStart"/>
      <w:r>
        <w:rPr>
          <w:rFonts w:ascii="仿宋_GB2312" w:hAnsi="仿宋_GB2312" w:cs="仿宋_GB2312" w:hint="eastAsia"/>
          <w:snapToGrid/>
          <w:color w:val="000000"/>
          <w:kern w:val="0"/>
          <w:shd w:val="clear" w:color="auto" w:fill="FFFFFF"/>
          <w14:ligatures w14:val="standardContextual"/>
        </w:rPr>
        <w:t>侧主体</w:t>
      </w:r>
      <w:proofErr w:type="gramEnd"/>
      <w:r>
        <w:rPr>
          <w:rFonts w:ascii="仿宋_GB2312" w:hAnsi="仿宋_GB2312" w:cs="仿宋_GB2312" w:hint="eastAsia"/>
          <w:snapToGrid/>
          <w:color w:val="000000"/>
          <w:kern w:val="0"/>
          <w:shd w:val="clear" w:color="auto" w:fill="FFFFFF"/>
          <w14:ligatures w14:val="standardContextual"/>
        </w:rPr>
        <w:t>为风电、光伏发电项目，条件成熟时，可逐步扩大至符合条件的其他可再生能源。</w:t>
      </w:r>
    </w:p>
    <w:p w14:paraId="167ACF4D"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2.明确了经营主体</w:t>
      </w:r>
    </w:p>
    <w:p w14:paraId="006F8AC1" w14:textId="77777777" w:rsidR="00ED1FA8" w:rsidRDefault="00000000">
      <w:pPr>
        <w:spacing w:line="600" w:lineRule="exact"/>
        <w:ind w:firstLineChars="200" w:firstLine="640"/>
        <w:rPr>
          <w:rFonts w:hint="eastAsia"/>
          <w:snapToGrid/>
          <w:kern w:val="2"/>
          <w:szCs w:val="24"/>
          <w14:ligatures w14:val="standardContextual"/>
        </w:rPr>
      </w:pPr>
      <w:r>
        <w:rPr>
          <w:rFonts w:ascii="仿宋_GB2312" w:hAnsi="仿宋_GB2312" w:cs="仿宋_GB2312" w:hint="eastAsia"/>
          <w:snapToGrid/>
          <w:kern w:val="2"/>
          <w14:ligatures w14:val="standardContextual"/>
        </w:rPr>
        <w:t>参与本市绿色电力交易的经营主体包括：新能源发电企业、售电公司、电力用户</w:t>
      </w:r>
      <w:r>
        <w:rPr>
          <w:rFonts w:ascii="仿宋_GB2312" w:hAnsi="仿宋_GB2312" w:cs="仿宋_GB2312" w:hint="eastAsia"/>
          <w:snapToGrid/>
          <w:kern w:val="2"/>
          <w:szCs w:val="24"/>
          <w14:ligatures w14:val="standardContextual"/>
        </w:rPr>
        <w:t>。本市新能源发电企业参与市场按照《北京市2026年新能源发电企业参与电力中长期交易实施细则》执行。售电公司、电力用户（含批发用户、零售用户）须在交易平台注册生效。</w:t>
      </w:r>
    </w:p>
    <w:p w14:paraId="522AB00E"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3.明确了交易方式</w:t>
      </w:r>
    </w:p>
    <w:p w14:paraId="4AB0EDCA" w14:textId="77777777" w:rsidR="00ED1FA8" w:rsidRDefault="00000000">
      <w:pPr>
        <w:snapToGrid w:val="0"/>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2026年本市绿色</w:t>
      </w:r>
      <w:r>
        <w:rPr>
          <w:rFonts w:ascii="仿宋_GB2312" w:hAnsi="仿宋_GB2312" w:cs="仿宋_GB2312" w:hint="eastAsia"/>
          <w:snapToGrid/>
          <w:kern w:val="2"/>
          <w:szCs w:val="24"/>
          <w14:ligatures w14:val="standardContextual"/>
        </w:rPr>
        <w:t>电力</w:t>
      </w:r>
      <w:r>
        <w:rPr>
          <w:rFonts w:ascii="仿宋_GB2312" w:hAnsi="仿宋_GB2312" w:cs="仿宋_GB2312" w:hint="eastAsia"/>
          <w:snapToGrid/>
          <w:kern w:val="2"/>
          <w14:ligatures w14:val="standardContextual"/>
        </w:rPr>
        <w:t>交易主要包括本市经营主体参与北京市绿色电力交易、京津唐电网绿色电力交易、跨区跨省绿色电力交易。绿色电力交易依托交易平台开展，北京市绿色电力交易方式为双边协商、挂牌交易等；京津唐电网绿色电力交易方式为双边协商、集中竞价；在参与跨区跨省绿色电力交易时，鼓励发用双方签订多年期绿色电力购买协议。</w:t>
      </w:r>
    </w:p>
    <w:p w14:paraId="009F487C"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lastRenderedPageBreak/>
        <w:t>4.明确了交易安排</w:t>
      </w:r>
    </w:p>
    <w:p w14:paraId="79AC7850"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北京电力交易中心会同首都电力交易中心根据经营主体需求及风电、光伏发电企业交易意向，以年（多年）、月（多月）、月内等为周期常态化组织开展绿色电力交易。经营主体参与京津唐电网、北京市绿色电力交易时，申报方式参照《北京市2026年电力市场化交易方案》执行；经营主体参与跨区跨省绿色电力交易时，应分时段报量、报价，以分时段成交结果加权价格参与峰谷浮动。分月电量不得超过其月度实际最大可发、用电能力。</w:t>
      </w:r>
    </w:p>
    <w:p w14:paraId="689088E7"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5.明确了交易组织</w:t>
      </w:r>
    </w:p>
    <w:p w14:paraId="0BE0E442"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分别明确了北京市绿色电力交易、京津唐电网绿色电力交易、跨区跨省绿色电力交易不同的组织流程，方便经营主体在不同的交易方式下开展</w:t>
      </w:r>
      <w:proofErr w:type="gramStart"/>
      <w:r>
        <w:rPr>
          <w:rFonts w:ascii="仿宋_GB2312" w:hAnsi="仿宋_GB2312" w:cs="仿宋_GB2312" w:hint="eastAsia"/>
          <w:snapToGrid/>
          <w:color w:val="000000"/>
          <w:kern w:val="0"/>
          <w:shd w:val="clear" w:color="auto" w:fill="FFFFFF"/>
          <w14:ligatures w14:val="standardContextual"/>
        </w:rPr>
        <w:t>绿电交易</w:t>
      </w:r>
      <w:proofErr w:type="gramEnd"/>
      <w:r>
        <w:rPr>
          <w:rFonts w:ascii="仿宋_GB2312" w:hAnsi="仿宋_GB2312" w:cs="仿宋_GB2312" w:hint="eastAsia"/>
          <w:snapToGrid/>
          <w:color w:val="000000"/>
          <w:kern w:val="0"/>
          <w:shd w:val="clear" w:color="auto" w:fill="FFFFFF"/>
          <w14:ligatures w14:val="standardContextual"/>
        </w:rPr>
        <w:t>。</w:t>
      </w:r>
    </w:p>
    <w:p w14:paraId="4DA15F63"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6.明确了交易结算</w:t>
      </w:r>
    </w:p>
    <w:p w14:paraId="42D547A2"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明确了</w:t>
      </w:r>
      <w:r>
        <w:rPr>
          <w:rFonts w:ascii="仿宋" w:eastAsia="仿宋" w:hAnsi="仿宋" w:cs="仿宋" w:hint="eastAsia"/>
          <w:snapToGrid/>
          <w:kern w:val="2"/>
          <w14:ligatures w14:val="standardContextual"/>
        </w:rPr>
        <w:t>绿色</w:t>
      </w:r>
      <w:r>
        <w:rPr>
          <w:rFonts w:ascii="仿宋_GB2312" w:hAnsi="仿宋_GB2312" w:cs="仿宋_GB2312" w:hint="eastAsia"/>
          <w:snapToGrid/>
          <w:color w:val="000000"/>
          <w:kern w:val="0"/>
          <w:shd w:val="clear" w:color="auto" w:fill="FFFFFF"/>
          <w14:ligatures w14:val="standardContextual"/>
        </w:rPr>
        <w:t>电力交易优先结算，并且分别明确了绿色电力交易中电能</w:t>
      </w:r>
      <w:proofErr w:type="gramStart"/>
      <w:r>
        <w:rPr>
          <w:rFonts w:ascii="仿宋_GB2312" w:hAnsi="仿宋_GB2312" w:cs="仿宋_GB2312" w:hint="eastAsia"/>
          <w:snapToGrid/>
          <w:color w:val="000000"/>
          <w:kern w:val="0"/>
          <w:shd w:val="clear" w:color="auto" w:fill="FFFFFF"/>
          <w14:ligatures w14:val="standardContextual"/>
        </w:rPr>
        <w:t>量价格</w:t>
      </w:r>
      <w:proofErr w:type="gramEnd"/>
      <w:r>
        <w:rPr>
          <w:rFonts w:ascii="仿宋_GB2312" w:hAnsi="仿宋_GB2312" w:cs="仿宋_GB2312" w:hint="eastAsia"/>
          <w:snapToGrid/>
          <w:color w:val="000000"/>
          <w:kern w:val="0"/>
          <w:shd w:val="clear" w:color="auto" w:fill="FFFFFF"/>
          <w14:ligatures w14:val="standardContextual"/>
        </w:rPr>
        <w:t>与绿色电力环境价值的结算方式。</w:t>
      </w:r>
    </w:p>
    <w:p w14:paraId="0B29F68F" w14:textId="77777777" w:rsidR="00ED1FA8" w:rsidRDefault="00000000">
      <w:pPr>
        <w:snapToGrid w:val="0"/>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7.规定了绿证划转</w:t>
      </w:r>
    </w:p>
    <w:p w14:paraId="63E48438" w14:textId="77777777" w:rsidR="00ED1FA8" w:rsidRDefault="00000000">
      <w:pPr>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rPr>
        <w:t>参与绿色电力交易的对应绿证通过国家绿证核发交易系统，由国家能源局资质中心依据绿色电力交易结算结果等信息划转，划转后的绿</w:t>
      </w:r>
      <w:proofErr w:type="gramStart"/>
      <w:r>
        <w:rPr>
          <w:rFonts w:ascii="仿宋_GB2312" w:hAnsi="仿宋_GB2312" w:cs="仿宋_GB2312" w:hint="eastAsia"/>
        </w:rPr>
        <w:t>证相关</w:t>
      </w:r>
      <w:proofErr w:type="gramEnd"/>
      <w:r>
        <w:rPr>
          <w:rFonts w:ascii="仿宋_GB2312" w:hAnsi="仿宋_GB2312" w:cs="仿宋_GB2312" w:hint="eastAsia"/>
        </w:rPr>
        <w:t>信息与北京电力交易中心同步。</w:t>
      </w:r>
    </w:p>
    <w:p w14:paraId="50B141FE" w14:textId="77777777" w:rsidR="00ED1FA8" w:rsidRDefault="00000000">
      <w:pPr>
        <w:snapToGrid w:val="0"/>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8.其他要求</w:t>
      </w:r>
    </w:p>
    <w:p w14:paraId="3B3D8B75" w14:textId="71DEBC7A"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lastRenderedPageBreak/>
        <w:t>按照国家有关文件要求，</w:t>
      </w:r>
      <w:proofErr w:type="gramStart"/>
      <w:r>
        <w:rPr>
          <w:rFonts w:ascii="仿宋_GB2312" w:hAnsi="仿宋_GB2312" w:cs="仿宋_GB2312" w:hint="eastAsia"/>
          <w:snapToGrid/>
          <w:color w:val="000000"/>
          <w:kern w:val="0"/>
          <w:shd w:val="clear" w:color="auto" w:fill="FFFFFF"/>
          <w14:ligatures w14:val="standardContextual"/>
        </w:rPr>
        <w:t>明确绿证唯一</w:t>
      </w:r>
      <w:proofErr w:type="gramEnd"/>
      <w:r>
        <w:rPr>
          <w:rFonts w:ascii="仿宋_GB2312" w:hAnsi="仿宋_GB2312" w:cs="仿宋_GB2312" w:hint="eastAsia"/>
          <w:snapToGrid/>
          <w:color w:val="000000"/>
          <w:kern w:val="0"/>
          <w:shd w:val="clear" w:color="auto" w:fill="FFFFFF"/>
          <w14:ligatures w14:val="standardContextual"/>
        </w:rPr>
        <w:t>属性。在</w:t>
      </w:r>
      <w:proofErr w:type="gramStart"/>
      <w:r>
        <w:rPr>
          <w:rFonts w:ascii="仿宋_GB2312" w:hAnsi="仿宋_GB2312" w:cs="仿宋_GB2312" w:hint="eastAsia"/>
          <w:snapToGrid/>
          <w:color w:val="000000"/>
          <w:kern w:val="0"/>
          <w:shd w:val="clear" w:color="auto" w:fill="FFFFFF"/>
          <w14:ligatures w14:val="standardContextual"/>
        </w:rPr>
        <w:t>绿电交易</w:t>
      </w:r>
      <w:proofErr w:type="gramEnd"/>
      <w:r>
        <w:rPr>
          <w:rFonts w:ascii="仿宋_GB2312" w:hAnsi="仿宋_GB2312" w:cs="仿宋_GB2312" w:hint="eastAsia"/>
          <w:snapToGrid/>
          <w:color w:val="000000"/>
          <w:kern w:val="0"/>
          <w:shd w:val="clear" w:color="auto" w:fill="FFFFFF"/>
          <w14:ligatures w14:val="standardContextual"/>
        </w:rPr>
        <w:t>各个环节落实优先组织、优先调度、优先结算</w:t>
      </w:r>
      <w:r w:rsidR="00635959">
        <w:rPr>
          <w:rFonts w:ascii="仿宋_GB2312" w:hAnsi="仿宋_GB2312" w:cs="仿宋_GB2312" w:hint="eastAsia"/>
          <w:snapToGrid/>
          <w:color w:val="000000"/>
          <w:kern w:val="0"/>
          <w:shd w:val="clear" w:color="auto" w:fill="FFFFFF"/>
          <w14:ligatures w14:val="standardContextual"/>
        </w:rPr>
        <w:t>相关</w:t>
      </w:r>
      <w:r>
        <w:rPr>
          <w:rFonts w:ascii="仿宋_GB2312" w:hAnsi="仿宋_GB2312" w:cs="仿宋_GB2312" w:hint="eastAsia"/>
          <w:snapToGrid/>
          <w:color w:val="000000"/>
          <w:kern w:val="0"/>
          <w:shd w:val="clear" w:color="auto" w:fill="FFFFFF"/>
          <w14:ligatures w14:val="standardContextual"/>
        </w:rPr>
        <w:t>要求。</w:t>
      </w:r>
    </w:p>
    <w:p w14:paraId="431BEDB5" w14:textId="77777777" w:rsidR="00ED1FA8" w:rsidRDefault="00000000">
      <w:pPr>
        <w:spacing w:line="600" w:lineRule="exact"/>
        <w:ind w:firstLineChars="200" w:firstLine="640"/>
        <w:rPr>
          <w:rFonts w:ascii="楷体_GB2312" w:eastAsia="楷体_GB2312" w:hAnsi="楷体" w:cs="楷体" w:hint="eastAsia"/>
          <w:snapToGrid/>
          <w:kern w:val="2"/>
          <w14:ligatures w14:val="standardContextual"/>
        </w:rPr>
      </w:pPr>
      <w:r>
        <w:rPr>
          <w:rFonts w:ascii="楷体_GB2312" w:eastAsia="楷体_GB2312" w:hAnsi="楷体" w:cs="楷体" w:hint="eastAsia"/>
          <w:snapToGrid/>
          <w:kern w:val="2"/>
          <w14:ligatures w14:val="standardContextual"/>
        </w:rPr>
        <w:t>附件：《北京市2026年新能源发电企业参与电力中长期交易实施细则》</w:t>
      </w:r>
    </w:p>
    <w:p w14:paraId="217B094E" w14:textId="08F17F3F" w:rsidR="00ED1FA8" w:rsidRDefault="00000000">
      <w:pPr>
        <w:spacing w:line="600" w:lineRule="exact"/>
        <w:ind w:firstLineChars="200" w:firstLine="640"/>
        <w:rPr>
          <w:rFonts w:ascii="仿宋_GB2312" w:hAnsi="仿宋_GB2312" w:cs="仿宋_GB2312" w:hint="eastAsia"/>
          <w:snapToGrid/>
          <w:color w:val="000000"/>
          <w:kern w:val="2"/>
          <w:shd w:val="clear" w:color="auto" w:fill="FFFFFF"/>
          <w14:ligatures w14:val="standardContextual"/>
        </w:rPr>
      </w:pPr>
      <w:r>
        <w:rPr>
          <w:rFonts w:ascii="仿宋_GB2312" w:hAnsi="仿宋_GB2312" w:cs="仿宋_GB2312" w:hint="eastAsia"/>
          <w:snapToGrid/>
          <w:color w:val="000000"/>
          <w:kern w:val="2"/>
          <w:shd w:val="clear" w:color="auto" w:fill="FFFFFF"/>
          <w14:ligatures w14:val="standardContextual"/>
        </w:rPr>
        <w:t>《北京市2026年新能源发电企业参与电力中长期交易实施细则》全文共八章二十九条。其中，第一章为总则；第二章明确了适用对象；第三章明确了基本条件与注册条件；第四章明确了交易方式；第五章明确了价格机制；第六章明确了交易组织与安排；第七章明确了交易结算；第八</w:t>
      </w:r>
      <w:r w:rsidR="00635959">
        <w:rPr>
          <w:rFonts w:ascii="仿宋_GB2312" w:hAnsi="仿宋_GB2312" w:cs="仿宋_GB2312" w:hint="eastAsia"/>
          <w:snapToGrid/>
          <w:color w:val="000000"/>
          <w:kern w:val="2"/>
          <w:shd w:val="clear" w:color="auto" w:fill="FFFFFF"/>
          <w14:ligatures w14:val="standardContextual"/>
        </w:rPr>
        <w:t>章</w:t>
      </w:r>
      <w:r>
        <w:rPr>
          <w:rFonts w:ascii="仿宋_GB2312" w:hAnsi="仿宋_GB2312" w:cs="仿宋_GB2312" w:hint="eastAsia"/>
          <w:snapToGrid/>
          <w:color w:val="000000"/>
          <w:kern w:val="2"/>
          <w:shd w:val="clear" w:color="auto" w:fill="FFFFFF"/>
          <w14:ligatures w14:val="standardContextual"/>
        </w:rPr>
        <w:t>为相关要求。主要内容如下：</w:t>
      </w:r>
    </w:p>
    <w:p w14:paraId="0820B2EE"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1.总则</w:t>
      </w:r>
    </w:p>
    <w:p w14:paraId="697D13C6"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本细则所称中长期交易，指符合条件的经营主体，通过市场化方式，在首都电力交易中心交易平台上，开展的多年、年度、月度、月内等电力批发交易。</w:t>
      </w:r>
    </w:p>
    <w:p w14:paraId="7E6C7F6C"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2.明确了适用对象</w:t>
      </w:r>
    </w:p>
    <w:p w14:paraId="2361530A" w14:textId="77777777" w:rsidR="00ED1FA8" w:rsidRDefault="00000000">
      <w:pPr>
        <w:spacing w:line="600" w:lineRule="exact"/>
        <w:ind w:firstLineChars="200" w:firstLine="640"/>
        <w:rPr>
          <w:rFonts w:hint="eastAsia"/>
          <w:snapToGrid/>
          <w:kern w:val="2"/>
          <w:szCs w:val="24"/>
          <w14:ligatures w14:val="standardContextual"/>
        </w:rPr>
      </w:pPr>
      <w:r>
        <w:rPr>
          <w:rFonts w:ascii="仿宋_GB2312" w:hAnsi="仿宋_GB2312" w:cs="仿宋_GB2312" w:hint="eastAsia"/>
          <w:snapToGrid/>
          <w:kern w:val="2"/>
          <w14:ligatures w14:val="standardContextual"/>
        </w:rPr>
        <w:t>本细则适用对象为北京市区域内新能源项目（集中式光伏项目、集中式风电项目、分布式光伏发电项目、分散式风电项目），新能源项目上网电量原则上全部进入电力市场，上网电价通过市场交易形成。</w:t>
      </w:r>
    </w:p>
    <w:p w14:paraId="67BB6366"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3.明确了基本条件与注册条件</w:t>
      </w:r>
    </w:p>
    <w:p w14:paraId="1AE125CF" w14:textId="77777777" w:rsidR="00ED1FA8" w:rsidRDefault="00000000">
      <w:pPr>
        <w:spacing w:line="600" w:lineRule="exact"/>
        <w:ind w:firstLineChars="200" w:firstLine="640"/>
        <w:rPr>
          <w:rFonts w:ascii="仿宋_GB2312" w:hAnsi="仿宋_GB2312" w:cs="仿宋_GB2312" w:hint="eastAsia"/>
          <w:snapToGrid/>
          <w:kern w:val="2"/>
          <w14:ligatures w14:val="standardContextual"/>
        </w:rPr>
      </w:pPr>
      <w:r>
        <w:rPr>
          <w:rFonts w:ascii="仿宋_GB2312" w:hAnsi="仿宋_GB2312" w:cs="仿宋_GB2312" w:hint="eastAsia"/>
          <w:snapToGrid/>
          <w:kern w:val="2"/>
          <w14:ligatures w14:val="standardContextual"/>
        </w:rPr>
        <w:t>新能源发电企业应当是财务独立核算、能够独立承担民事责任的企业、经法人单位授权的内部核算主体。新能源发电企业参</w:t>
      </w:r>
      <w:r>
        <w:rPr>
          <w:rFonts w:ascii="仿宋_GB2312" w:hAnsi="仿宋_GB2312" w:cs="仿宋_GB2312" w:hint="eastAsia"/>
          <w:snapToGrid/>
          <w:kern w:val="2"/>
          <w14:ligatures w14:val="standardContextual"/>
        </w:rPr>
        <w:lastRenderedPageBreak/>
        <w:t>与北京市电力市场化交易，应当符合基本条件。</w:t>
      </w:r>
    </w:p>
    <w:p w14:paraId="4A74434D"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4.明确了交易方式</w:t>
      </w:r>
    </w:p>
    <w:p w14:paraId="6946B74A"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集中式新能源发电企业（集中式光伏项目、集中式风电项目）自行选择</w:t>
      </w:r>
      <w:proofErr w:type="gramStart"/>
      <w:r>
        <w:rPr>
          <w:rFonts w:ascii="仿宋_GB2312" w:hAnsi="仿宋_GB2312" w:cs="仿宋_GB2312" w:hint="eastAsia"/>
          <w:snapToGrid/>
          <w:color w:val="000000"/>
          <w:kern w:val="0"/>
          <w:shd w:val="clear" w:color="auto" w:fill="FFFFFF"/>
          <w14:ligatures w14:val="standardContextual"/>
        </w:rPr>
        <w:t>参与绿电市场化</w:t>
      </w:r>
      <w:proofErr w:type="gramEnd"/>
      <w:r>
        <w:rPr>
          <w:rFonts w:ascii="仿宋_GB2312" w:hAnsi="仿宋_GB2312" w:cs="仿宋_GB2312" w:hint="eastAsia"/>
          <w:snapToGrid/>
          <w:color w:val="000000"/>
          <w:kern w:val="0"/>
          <w:shd w:val="clear" w:color="auto" w:fill="FFFFFF"/>
          <w14:ligatures w14:val="standardContextual"/>
        </w:rPr>
        <w:t>交易或者选择参加电能量中长期交易。</w:t>
      </w:r>
    </w:p>
    <w:p w14:paraId="58F27550"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5.明确了价格机制</w:t>
      </w:r>
    </w:p>
    <w:p w14:paraId="688B5953"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新能源发电企业交易价格由市场化机制形成，在参与电力市场交易后，在电力市场外建立差价结算的可持续发展价格结算机制。</w:t>
      </w:r>
    </w:p>
    <w:p w14:paraId="44EEA822" w14:textId="77777777" w:rsidR="00ED1FA8" w:rsidRDefault="00000000">
      <w:pPr>
        <w:snapToGrid w:val="0"/>
        <w:spacing w:line="600" w:lineRule="exact"/>
        <w:ind w:firstLineChars="200" w:firstLine="640"/>
        <w:rPr>
          <w:rFonts w:ascii="仿宋_GB2312" w:hAnsi="仿宋_GB2312" w:cs="仿宋_GB2312" w:hint="eastAsia"/>
          <w:snapToGrid/>
          <w:kern w:val="2"/>
          <w:szCs w:val="24"/>
          <w14:ligatures w14:val="standardContextual"/>
        </w:rPr>
      </w:pPr>
      <w:r>
        <w:rPr>
          <w:rFonts w:ascii="仿宋_GB2312" w:hAnsi="仿宋_GB2312" w:cs="仿宋_GB2312" w:hint="eastAsia"/>
          <w:snapToGrid/>
          <w:kern w:val="2"/>
          <w:szCs w:val="24"/>
          <w14:ligatures w14:val="standardContextual"/>
        </w:rPr>
        <w:t>6.明确了交易组织与安排</w:t>
      </w:r>
    </w:p>
    <w:p w14:paraId="12B4F82C"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新能源发电企业参与市场化交易工作</w:t>
      </w:r>
      <w:proofErr w:type="gramStart"/>
      <w:r>
        <w:rPr>
          <w:rFonts w:ascii="仿宋_GB2312" w:hAnsi="仿宋_GB2312" w:cs="仿宋_GB2312" w:hint="eastAsia"/>
          <w:snapToGrid/>
          <w:color w:val="000000"/>
          <w:kern w:val="0"/>
          <w:shd w:val="clear" w:color="auto" w:fill="FFFFFF"/>
          <w14:ligatures w14:val="standardContextual"/>
        </w:rPr>
        <w:t>由国网华北分部</w:t>
      </w:r>
      <w:proofErr w:type="gramEnd"/>
      <w:r>
        <w:rPr>
          <w:rFonts w:ascii="仿宋_GB2312" w:hAnsi="仿宋_GB2312" w:cs="仿宋_GB2312" w:hint="eastAsia"/>
          <w:snapToGrid/>
          <w:color w:val="000000"/>
          <w:kern w:val="0"/>
          <w:shd w:val="clear" w:color="auto" w:fill="FFFFFF"/>
          <w14:ligatures w14:val="standardContextual"/>
        </w:rPr>
        <w:t>（</w:t>
      </w:r>
      <w:proofErr w:type="gramStart"/>
      <w:r>
        <w:rPr>
          <w:rFonts w:ascii="仿宋_GB2312" w:hAnsi="仿宋_GB2312" w:cs="仿宋_GB2312" w:hint="eastAsia"/>
          <w:snapToGrid/>
          <w:color w:val="000000"/>
          <w:kern w:val="0"/>
          <w:shd w:val="clear" w:color="auto" w:fill="FFFFFF"/>
          <w14:ligatures w14:val="standardContextual"/>
        </w:rPr>
        <w:t>京交二部</w:t>
      </w:r>
      <w:proofErr w:type="gramEnd"/>
      <w:r>
        <w:rPr>
          <w:rFonts w:ascii="仿宋_GB2312" w:hAnsi="仿宋_GB2312" w:cs="仿宋_GB2312" w:hint="eastAsia"/>
          <w:snapToGrid/>
          <w:color w:val="000000"/>
          <w:kern w:val="0"/>
          <w:shd w:val="clear" w:color="auto" w:fill="FFFFFF"/>
          <w14:ligatures w14:val="standardContextual"/>
        </w:rPr>
        <w:t>）、首都电力交易中心共同组织开展。新能源发电企业参与</w:t>
      </w:r>
      <w:proofErr w:type="gramStart"/>
      <w:r>
        <w:rPr>
          <w:rFonts w:ascii="仿宋_GB2312" w:hAnsi="仿宋_GB2312" w:cs="仿宋_GB2312" w:hint="eastAsia"/>
          <w:snapToGrid/>
          <w:color w:val="000000"/>
          <w:kern w:val="0"/>
          <w:shd w:val="clear" w:color="auto" w:fill="FFFFFF"/>
          <w14:ligatures w14:val="standardContextual"/>
        </w:rPr>
        <w:t>本市绿电及</w:t>
      </w:r>
      <w:proofErr w:type="gramEnd"/>
      <w:r>
        <w:rPr>
          <w:rFonts w:ascii="仿宋_GB2312" w:hAnsi="仿宋_GB2312" w:cs="仿宋_GB2312" w:hint="eastAsia"/>
          <w:snapToGrid/>
          <w:color w:val="000000"/>
          <w:kern w:val="0"/>
          <w:shd w:val="clear" w:color="auto" w:fill="FFFFFF"/>
          <w14:ligatures w14:val="standardContextual"/>
        </w:rPr>
        <w:t>电能量中长期交易时，申报方式参照《北京市2026年电力市场化交易方案》执行。新能源发电企业</w:t>
      </w:r>
      <w:proofErr w:type="gramStart"/>
      <w:r>
        <w:rPr>
          <w:rFonts w:ascii="仿宋_GB2312" w:hAnsi="仿宋_GB2312" w:cs="仿宋_GB2312" w:hint="eastAsia"/>
          <w:snapToGrid/>
          <w:color w:val="000000"/>
          <w:kern w:val="0"/>
          <w:shd w:val="clear" w:color="auto" w:fill="FFFFFF"/>
          <w14:ligatures w14:val="standardContextual"/>
        </w:rPr>
        <w:t>申报全</w:t>
      </w:r>
      <w:proofErr w:type="gramEnd"/>
      <w:r>
        <w:rPr>
          <w:rFonts w:ascii="仿宋_GB2312" w:hAnsi="仿宋_GB2312" w:cs="仿宋_GB2312" w:hint="eastAsia"/>
          <w:snapToGrid/>
          <w:color w:val="000000"/>
          <w:kern w:val="0"/>
          <w:shd w:val="clear" w:color="auto" w:fill="FFFFFF"/>
          <w14:ligatures w14:val="standardContextual"/>
        </w:rPr>
        <w:t>时段电量参与交易，分月电量不得超过其月度实际最大可发电能力</w:t>
      </w:r>
    </w:p>
    <w:p w14:paraId="43A15EF7" w14:textId="77777777" w:rsidR="00ED1FA8" w:rsidRDefault="00000000">
      <w:pPr>
        <w:snapToGrid w:val="0"/>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7.明确了交易结算</w:t>
      </w:r>
    </w:p>
    <w:p w14:paraId="20C4FF4D" w14:textId="77777777" w:rsidR="00ED1FA8" w:rsidRDefault="00000000">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2026年北京地区电力市场化交易结算方式按照华北能源监管局现行政策文件执行。北京市新能源发电企业合同电量和偏差电量分开结算，合同电量按合同价格结算，偏差电量按照偏差价格结算。</w:t>
      </w:r>
    </w:p>
    <w:p w14:paraId="4082F115" w14:textId="77777777" w:rsidR="00ED1FA8" w:rsidRDefault="00000000">
      <w:pPr>
        <w:snapToGrid w:val="0"/>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Pr>
          <w:rFonts w:ascii="仿宋_GB2312" w:hAnsi="仿宋_GB2312" w:cs="仿宋_GB2312" w:hint="eastAsia"/>
          <w:snapToGrid/>
          <w:color w:val="000000"/>
          <w:kern w:val="0"/>
          <w:shd w:val="clear" w:color="auto" w:fill="FFFFFF"/>
          <w14:ligatures w14:val="standardContextual"/>
        </w:rPr>
        <w:t>8.相关要求</w:t>
      </w:r>
    </w:p>
    <w:p w14:paraId="7A6790BC" w14:textId="33AB4F28" w:rsidR="00ED1FA8" w:rsidRDefault="00635959">
      <w:pPr>
        <w:widowControl/>
        <w:spacing w:line="600" w:lineRule="exact"/>
        <w:ind w:firstLineChars="200" w:firstLine="640"/>
        <w:rPr>
          <w:rFonts w:ascii="仿宋_GB2312" w:hAnsi="仿宋_GB2312" w:cs="仿宋_GB2312" w:hint="eastAsia"/>
          <w:snapToGrid/>
          <w:color w:val="000000"/>
          <w:kern w:val="0"/>
          <w:shd w:val="clear" w:color="auto" w:fill="FFFFFF"/>
          <w14:ligatures w14:val="standardContextual"/>
        </w:rPr>
      </w:pPr>
      <w:r w:rsidRPr="00635959">
        <w:rPr>
          <w:rFonts w:ascii="仿宋_GB2312" w:hAnsi="仿宋_GB2312" w:cs="仿宋_GB2312" w:hint="eastAsia"/>
          <w:snapToGrid/>
          <w:color w:val="000000"/>
          <w:kern w:val="0"/>
          <w:shd w:val="clear" w:color="auto" w:fill="FFFFFF"/>
          <w14:ligatures w14:val="standardContextual"/>
        </w:rPr>
        <w:lastRenderedPageBreak/>
        <w:t>享受财政补贴的新能源项目，全生命周期合理利用小时数内的补贴标准按照原有政策执行。2025年12月、2026年北京市新能源发电企业参与市场化交易按照本细则执行</w:t>
      </w:r>
      <w:r>
        <w:rPr>
          <w:rFonts w:ascii="仿宋_GB2312" w:hAnsi="仿宋_GB2312" w:cs="仿宋_GB2312" w:hint="eastAsia"/>
          <w:snapToGrid/>
          <w:color w:val="000000"/>
          <w:kern w:val="0"/>
          <w:shd w:val="clear" w:color="auto" w:fill="FFFFFF"/>
          <w14:ligatures w14:val="standardContextual"/>
        </w:rPr>
        <w:t>。</w:t>
      </w:r>
    </w:p>
    <w:p w14:paraId="722881E4"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涉及范围</w:t>
      </w:r>
    </w:p>
    <w:p w14:paraId="170C02F0"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《北京市2026年电力市场化交易方案》适用于参与2026年北京市电力市场化交易的经营主体，包括发电企业、售电公司和电力用户等。</w:t>
      </w:r>
    </w:p>
    <w:p w14:paraId="42D97573"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《北京市2026年绿色电力交易方案》适用于参与2026年北京市绿色电力交易的经营主体，包括新能源发电企业、售电公司、电力用户。</w:t>
      </w:r>
    </w:p>
    <w:p w14:paraId="2B7B8276"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《北京市2026年新能源发电企业参与电力中长期交易实施细则》适用于北京市区域内新能源项目（集中式光伏项目、集中式风电项目、分布式光伏发电项目、分散式风电项目）。</w:t>
      </w:r>
    </w:p>
    <w:p w14:paraId="3C48BFDC"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注意事项</w:t>
      </w:r>
    </w:p>
    <w:p w14:paraId="4DF53057"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（一）电力用户在同一合同周期内仅可与一家售电公司确立零售服务关系。售电公司不能代理发电企业参加交易。原则上，售电公司</w:t>
      </w:r>
      <w:proofErr w:type="gramStart"/>
      <w:r>
        <w:rPr>
          <w:rFonts w:ascii="仿宋_GB2312" w:hAnsi="Calibri" w:cs="仿宋_GB2312" w:hint="eastAsia"/>
          <w:snapToGrid/>
          <w:kern w:val="2"/>
        </w:rPr>
        <w:t>绿电交易</w:t>
      </w:r>
      <w:proofErr w:type="gramEnd"/>
      <w:r>
        <w:rPr>
          <w:rFonts w:ascii="仿宋_GB2312" w:hAnsi="Calibri" w:cs="仿宋_GB2312" w:hint="eastAsia"/>
          <w:snapToGrid/>
          <w:kern w:val="2"/>
        </w:rPr>
        <w:t>电量需全部分配至零售用户。零售用户更换售电公司时，若涉及到多年期交易合同，须由几</w:t>
      </w:r>
      <w:proofErr w:type="gramStart"/>
      <w:r>
        <w:rPr>
          <w:rFonts w:ascii="仿宋_GB2312" w:hAnsi="Calibri" w:cs="仿宋_GB2312" w:hint="eastAsia"/>
          <w:snapToGrid/>
          <w:kern w:val="2"/>
        </w:rPr>
        <w:t>方主体</w:t>
      </w:r>
      <w:proofErr w:type="gramEnd"/>
      <w:r>
        <w:rPr>
          <w:rFonts w:ascii="仿宋_GB2312" w:hAnsi="Calibri" w:cs="仿宋_GB2312" w:hint="eastAsia"/>
          <w:snapToGrid/>
          <w:kern w:val="2"/>
        </w:rPr>
        <w:t>共同协商一致后，进行售电公司更换。签订多年期交易合同的售电公司、零售用户应注意多年期交易合同期限与交易平台中代理关系绑定期限对应。</w:t>
      </w:r>
    </w:p>
    <w:p w14:paraId="524C5624"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lastRenderedPageBreak/>
        <w:t>（二）市场化电力用户（含售电公司、电网代理购电）2026年度中长期合同签约电量应不低于上一年度用电量的80%，并通过后续合同签订，保障电力中长期合同签约电量比例不低于90%。鼓励经营主体签订一年期以上的电力中长期合同。各类经营主体应综合考虑合同执行情况及市场变化因素，合理签订中长期合同。原则上，售电公司应充分调研其代理的零售用户用电需求后参与批发交易，做到批发交易电量与零售用户用电需求匹配。</w:t>
      </w:r>
    </w:p>
    <w:p w14:paraId="5591896E"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（三）按照国家有关要求，严禁在收取电费中加收其他费用。物业公共部位、共用设施和配套设施的运行维护费用等，应通过物业费、租金或公共收益解决，严禁以电费为基数加收服务类费用。</w:t>
      </w:r>
    </w:p>
    <w:p w14:paraId="4B521F72"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四）各有关交易主体，在交易过程中严格遵守法律法规和有关规则。不得串通报价、哄抬价格、扰乱市场秩序，不能滥用市场支配地位操纵市场价格，拥有售电公司的发电企业，不得利用“发售一体”优势直接或变相以降低所属售电公司购电成本的方式抢占市场份额，不得对民营售电公司等各类售电主体和电力大用户进行区别对待。</w:t>
      </w:r>
    </w:p>
    <w:p w14:paraId="288D3421"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关键词诠释、专业名词解释</w:t>
      </w:r>
    </w:p>
    <w:p w14:paraId="4C15960D"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（一）偏差率。批发用户、售电公司实际用电量与各类交易合同（购售合同）总电量的差值部分为偏差电量，偏差电量与各类交易合同（购售合同）总电量的比值为偏差率。</w:t>
      </w:r>
    </w:p>
    <w:p w14:paraId="732A562C"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lastRenderedPageBreak/>
        <w:t>（二）偏差结算差额资金总额。当月批发用户、售电公司支出的电能</w:t>
      </w:r>
      <w:proofErr w:type="gramStart"/>
      <w:r>
        <w:rPr>
          <w:rFonts w:ascii="仿宋_GB2312" w:hAnsi="Calibri" w:cs="仿宋_GB2312" w:hint="eastAsia"/>
          <w:snapToGrid/>
          <w:kern w:val="2"/>
        </w:rPr>
        <w:t>量合同</w:t>
      </w:r>
      <w:proofErr w:type="gramEnd"/>
      <w:r>
        <w:rPr>
          <w:rFonts w:ascii="仿宋_GB2312" w:hAnsi="Calibri" w:cs="仿宋_GB2312" w:hint="eastAsia"/>
          <w:snapToGrid/>
          <w:kern w:val="2"/>
        </w:rPr>
        <w:t>费用及偏差结算费用总和与北京电网向北京本地参与中长期交易的新能源发电企业、华北电网支付的直接交易电能</w:t>
      </w:r>
      <w:proofErr w:type="gramStart"/>
      <w:r>
        <w:rPr>
          <w:rFonts w:ascii="仿宋_GB2312" w:hAnsi="Calibri" w:cs="仿宋_GB2312" w:hint="eastAsia"/>
          <w:snapToGrid/>
          <w:kern w:val="2"/>
        </w:rPr>
        <w:t>量合同</w:t>
      </w:r>
      <w:proofErr w:type="gramEnd"/>
      <w:r>
        <w:rPr>
          <w:rFonts w:ascii="仿宋_GB2312" w:hAnsi="Calibri" w:cs="仿宋_GB2312" w:hint="eastAsia"/>
          <w:snapToGrid/>
          <w:kern w:val="2"/>
        </w:rPr>
        <w:t>费用及偏差结算费用总和之差。</w:t>
      </w:r>
    </w:p>
    <w:p w14:paraId="3A38D3F1"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（三）绿证。绿证是我国可再生能源电量环境属性的唯一证明，是认定可再生能源电力生产、消费的唯一凭证。</w:t>
      </w:r>
    </w:p>
    <w:p w14:paraId="31278511" w14:textId="77777777" w:rsidR="00ED1FA8" w:rsidRDefault="00000000">
      <w:pPr>
        <w:numPr>
          <w:ilvl w:val="0"/>
          <w:numId w:val="6"/>
        </w:numPr>
        <w:snapToGrid w:val="0"/>
        <w:spacing w:line="600" w:lineRule="exact"/>
        <w:ind w:firstLine="640"/>
        <w:rPr>
          <w:rFonts w:ascii="仿宋_GB2312" w:hAnsi="Calibri" w:cs="仿宋_GB2312"/>
          <w:snapToGrid/>
          <w:kern w:val="2"/>
        </w:rPr>
      </w:pPr>
      <w:proofErr w:type="gramStart"/>
      <w:r>
        <w:rPr>
          <w:rFonts w:ascii="黑体" w:eastAsia="黑体" w:hAnsi="黑体" w:cs="黑体" w:hint="eastAsia"/>
          <w:snapToGrid/>
          <w:kern w:val="2"/>
        </w:rPr>
        <w:t>惠民利</w:t>
      </w:r>
      <w:proofErr w:type="gramEnd"/>
      <w:r>
        <w:rPr>
          <w:rFonts w:ascii="黑体" w:eastAsia="黑体" w:hAnsi="黑体" w:cs="黑体" w:hint="eastAsia"/>
          <w:snapToGrid/>
          <w:kern w:val="2"/>
        </w:rPr>
        <w:t>企举措</w:t>
      </w:r>
    </w:p>
    <w:p w14:paraId="54289FB6"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（一）零售合同的电能量价格，在“北京燃煤基准价±20%”范围形成，有助于避免市场价格大幅波动，为企业用电提供更加稳定的电价预期。</w:t>
      </w:r>
    </w:p>
    <w:p w14:paraId="3583EE59" w14:textId="77777777" w:rsidR="00ED1FA8" w:rsidRDefault="00000000">
      <w:pPr>
        <w:snapToGrid w:val="0"/>
        <w:spacing w:line="600" w:lineRule="exact"/>
        <w:ind w:firstLineChars="200" w:firstLine="640"/>
        <w:rPr>
          <w:rFonts w:ascii="仿宋_GB2312" w:hAnsi="仿宋_GB2312" w:cs="仿宋_GB2312" w:hint="eastAsia"/>
          <w:snapToGrid/>
          <w:color w:val="000000"/>
          <w:kern w:val="2"/>
        </w:rPr>
      </w:pPr>
      <w:r>
        <w:rPr>
          <w:rFonts w:ascii="仿宋_GB2312" w:hAnsi="Calibri" w:cs="仿宋_GB2312" w:hint="eastAsia"/>
          <w:snapToGrid/>
          <w:kern w:val="2"/>
        </w:rPr>
        <w:t>（二）将工商业用户注册截止日期由每月15日调整为每月20日，为用户入市提供便利。</w:t>
      </w:r>
    </w:p>
    <w:p w14:paraId="215B8F05" w14:textId="77777777" w:rsidR="00ED1FA8" w:rsidRDefault="00000000">
      <w:pPr>
        <w:snapToGrid w:val="0"/>
        <w:spacing w:line="600" w:lineRule="exact"/>
        <w:ind w:firstLineChars="200" w:firstLine="640"/>
        <w:rPr>
          <w:rFonts w:ascii="仿宋_GB2312" w:hAnsi="仿宋_GB2312" w:cs="仿宋_GB2312" w:hint="eastAsia"/>
          <w:snapToGrid/>
          <w:color w:val="000000"/>
          <w:kern w:val="2"/>
        </w:rPr>
      </w:pPr>
      <w:r>
        <w:rPr>
          <w:rFonts w:ascii="仿宋_GB2312" w:hAnsi="仿宋_GB2312" w:cs="仿宋_GB2312" w:hint="eastAsia"/>
          <w:snapToGrid/>
          <w:color w:val="000000"/>
          <w:kern w:val="2"/>
        </w:rPr>
        <w:t>（三）控</w:t>
      </w:r>
      <w:proofErr w:type="gramStart"/>
      <w:r>
        <w:rPr>
          <w:rFonts w:ascii="仿宋_GB2312" w:hAnsi="仿宋_GB2312" w:cs="仿宋_GB2312" w:hint="eastAsia"/>
          <w:snapToGrid/>
          <w:color w:val="000000"/>
          <w:kern w:val="2"/>
        </w:rPr>
        <w:t>制售电</w:t>
      </w:r>
      <w:proofErr w:type="gramEnd"/>
      <w:r>
        <w:rPr>
          <w:rFonts w:ascii="仿宋_GB2312" w:hAnsi="仿宋_GB2312" w:cs="仿宋_GB2312" w:hint="eastAsia"/>
          <w:snapToGrid/>
          <w:color w:val="000000"/>
          <w:kern w:val="2"/>
        </w:rPr>
        <w:t>公司超额收益，批零价差产生的超额收益由售电公司与零售用户按协商比例分享，分享比例应大幅向零售用户倾斜。</w:t>
      </w:r>
    </w:p>
    <w:p w14:paraId="508A7F9E" w14:textId="77777777" w:rsidR="00ED1FA8" w:rsidRDefault="00000000">
      <w:pPr>
        <w:spacing w:line="600" w:lineRule="exact"/>
        <w:ind w:firstLineChars="200" w:firstLine="640"/>
        <w:rPr>
          <w:rFonts w:ascii="仿宋_GB2312" w:hAnsi="仿宋_GB2312" w:cs="仿宋_GB2312" w:hint="eastAsia"/>
          <w:snapToGrid/>
          <w:color w:val="000000"/>
          <w:kern w:val="2"/>
        </w:rPr>
      </w:pPr>
      <w:r>
        <w:rPr>
          <w:rFonts w:ascii="仿宋_GB2312" w:hAnsi="仿宋_GB2312" w:cs="仿宋_GB2312" w:hint="eastAsia"/>
          <w:snapToGrid/>
          <w:color w:val="000000"/>
          <w:kern w:val="2"/>
        </w:rPr>
        <w:t>（四）</w:t>
      </w:r>
      <w:r>
        <w:rPr>
          <w:rFonts w:ascii="仿宋_GB2312" w:hAnsi="仿宋_GB2312" w:cs="仿宋_GB2312" w:hint="eastAsia"/>
        </w:rPr>
        <w:t>对参与绿色电力交易的电力用户按绿色电力交易结算电量给予每度电0.02元的奖励。</w:t>
      </w:r>
    </w:p>
    <w:p w14:paraId="6C4EB134"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新旧政策差异</w:t>
      </w:r>
    </w:p>
    <w:p w14:paraId="21F10BCF"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（一）调整交易电量规模。根据我市电</w:t>
      </w:r>
      <w:proofErr w:type="gramStart"/>
      <w:r>
        <w:rPr>
          <w:rFonts w:ascii="仿宋_GB2312" w:hAnsi="黑体" w:cs="黑体" w:hint="eastAsia"/>
          <w:snapToGrid/>
          <w:kern w:val="2"/>
        </w:rPr>
        <w:t>力交易</w:t>
      </w:r>
      <w:proofErr w:type="gramEnd"/>
      <w:r>
        <w:rPr>
          <w:rFonts w:ascii="仿宋_GB2312" w:hAnsi="黑体" w:cs="黑体" w:hint="eastAsia"/>
          <w:snapToGrid/>
          <w:kern w:val="2"/>
        </w:rPr>
        <w:t>市场需求，适当调增了交易规模。</w:t>
      </w:r>
    </w:p>
    <w:p w14:paraId="375EB7AD"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新交易规模：</w:t>
      </w:r>
      <w:r>
        <w:rPr>
          <w:rFonts w:ascii="仿宋_GB2312" w:hAnsi="黑体" w:cs="黑体" w:hint="eastAsia"/>
          <w:snapToGrid/>
          <w:kern w:val="2"/>
        </w:rPr>
        <w:t>总电量规模拟安排950亿千瓦时，其中，直接</w:t>
      </w:r>
      <w:r>
        <w:rPr>
          <w:rFonts w:ascii="仿宋_GB2312" w:hAnsi="黑体" w:cs="黑体" w:hint="eastAsia"/>
          <w:snapToGrid/>
          <w:kern w:val="2"/>
        </w:rPr>
        <w:lastRenderedPageBreak/>
        <w:t>市场350亿千瓦时，电网代理购电600亿千瓦时。</w:t>
      </w:r>
    </w:p>
    <w:p w14:paraId="47B93985"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原交易规模：</w:t>
      </w:r>
      <w:r>
        <w:rPr>
          <w:rFonts w:ascii="仿宋_GB2312" w:hAnsi="黑体" w:cs="黑体" w:hint="eastAsia"/>
          <w:snapToGrid/>
          <w:kern w:val="2"/>
        </w:rPr>
        <w:t>总电量规模拟安排910亿千瓦时，其中，直接市场300亿千瓦时，电网代理购电610亿千瓦时。</w:t>
      </w:r>
    </w:p>
    <w:p w14:paraId="27E07CB5"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（二）延长电力用户注册申报时间，为用户入市提供便利。</w:t>
      </w:r>
    </w:p>
    <w:p w14:paraId="6A1CF9FA"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新注册截止时间</w:t>
      </w:r>
      <w:r>
        <w:rPr>
          <w:rFonts w:ascii="仿宋_GB2312" w:hAnsi="黑体" w:cs="黑体" w:hint="eastAsia"/>
          <w:snapToGrid/>
          <w:kern w:val="2"/>
        </w:rPr>
        <w:t>：</w:t>
      </w:r>
      <w:proofErr w:type="gramStart"/>
      <w:r>
        <w:rPr>
          <w:rFonts w:ascii="仿宋_GB2312" w:hAnsi="黑体" w:cs="黑体" w:hint="eastAsia"/>
          <w:snapToGrid/>
          <w:kern w:val="2"/>
        </w:rPr>
        <w:t>由国网北京市</w:t>
      </w:r>
      <w:proofErr w:type="gramEnd"/>
      <w:r>
        <w:rPr>
          <w:rFonts w:ascii="仿宋_GB2312" w:hAnsi="黑体" w:cs="黑体" w:hint="eastAsia"/>
          <w:snapToGrid/>
          <w:kern w:val="2"/>
        </w:rPr>
        <w:t>电力公司代理购电的工商业用户，可在每月20日前，在首都电力交易平台完成注册，</w:t>
      </w:r>
      <w:proofErr w:type="gramStart"/>
      <w:r>
        <w:rPr>
          <w:rFonts w:ascii="仿宋_GB2312" w:hAnsi="黑体" w:cs="黑体" w:hint="eastAsia"/>
          <w:snapToGrid/>
          <w:kern w:val="2"/>
        </w:rPr>
        <w:t>选择自</w:t>
      </w:r>
      <w:proofErr w:type="gramEnd"/>
      <w:r>
        <w:rPr>
          <w:rFonts w:ascii="仿宋_GB2312" w:hAnsi="黑体" w:cs="黑体" w:hint="eastAsia"/>
          <w:snapToGrid/>
          <w:kern w:val="2"/>
        </w:rPr>
        <w:t>下月起直接参与市场交易，</w:t>
      </w:r>
      <w:proofErr w:type="gramStart"/>
      <w:r>
        <w:rPr>
          <w:rFonts w:ascii="仿宋_GB2312" w:hAnsi="黑体" w:cs="黑体" w:hint="eastAsia"/>
          <w:snapToGrid/>
          <w:kern w:val="2"/>
        </w:rPr>
        <w:t>国网北京市</w:t>
      </w:r>
      <w:proofErr w:type="gramEnd"/>
      <w:r>
        <w:rPr>
          <w:rFonts w:ascii="仿宋_GB2312" w:hAnsi="黑体" w:cs="黑体" w:hint="eastAsia"/>
          <w:snapToGrid/>
          <w:kern w:val="2"/>
        </w:rPr>
        <w:t>电力公司代理购电相应终止。</w:t>
      </w:r>
    </w:p>
    <w:p w14:paraId="74AEDDEF"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原注册截止时间</w:t>
      </w:r>
      <w:r>
        <w:rPr>
          <w:rFonts w:ascii="仿宋_GB2312" w:hAnsi="黑体" w:cs="黑体" w:hint="eastAsia"/>
          <w:snapToGrid/>
          <w:kern w:val="2"/>
        </w:rPr>
        <w:t>：</w:t>
      </w:r>
      <w:proofErr w:type="gramStart"/>
      <w:r>
        <w:rPr>
          <w:rFonts w:ascii="仿宋_GB2312" w:hAnsi="黑体" w:cs="黑体" w:hint="eastAsia"/>
          <w:snapToGrid/>
          <w:kern w:val="2"/>
        </w:rPr>
        <w:t>由国网北京市</w:t>
      </w:r>
      <w:proofErr w:type="gramEnd"/>
      <w:r>
        <w:rPr>
          <w:rFonts w:ascii="仿宋_GB2312" w:hAnsi="黑体" w:cs="黑体" w:hint="eastAsia"/>
          <w:snapToGrid/>
          <w:kern w:val="2"/>
        </w:rPr>
        <w:t>电力公司代理购电的工商业用户，可在每月15日前，在首都电力交易平台完成注册，</w:t>
      </w:r>
      <w:proofErr w:type="gramStart"/>
      <w:r>
        <w:rPr>
          <w:rFonts w:ascii="仿宋_GB2312" w:hAnsi="黑体" w:cs="黑体" w:hint="eastAsia"/>
          <w:snapToGrid/>
          <w:kern w:val="2"/>
        </w:rPr>
        <w:t>选择自</w:t>
      </w:r>
      <w:proofErr w:type="gramEnd"/>
      <w:r>
        <w:rPr>
          <w:rFonts w:ascii="仿宋_GB2312" w:hAnsi="黑体" w:cs="黑体" w:hint="eastAsia"/>
          <w:snapToGrid/>
          <w:kern w:val="2"/>
        </w:rPr>
        <w:t>下月起直接参与市场交易，</w:t>
      </w:r>
      <w:proofErr w:type="gramStart"/>
      <w:r>
        <w:rPr>
          <w:rFonts w:ascii="仿宋_GB2312" w:hAnsi="黑体" w:cs="黑体" w:hint="eastAsia"/>
          <w:snapToGrid/>
          <w:kern w:val="2"/>
        </w:rPr>
        <w:t>国网北京市</w:t>
      </w:r>
      <w:proofErr w:type="gramEnd"/>
      <w:r>
        <w:rPr>
          <w:rFonts w:ascii="仿宋_GB2312" w:hAnsi="黑体" w:cs="黑体" w:hint="eastAsia"/>
          <w:snapToGrid/>
          <w:kern w:val="2"/>
        </w:rPr>
        <w:t>电力公司代理购电相应终止。</w:t>
      </w:r>
    </w:p>
    <w:p w14:paraId="73850C29"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（三）优化分时申报方式。明确经营主体需按24个时段分别报量</w:t>
      </w:r>
      <w:r>
        <w:rPr>
          <w:rFonts w:ascii="仿宋_GB2312" w:hAnsi="楷体" w:cs="楷体" w:hint="eastAsia"/>
          <w:bCs/>
          <w:snapToGrid/>
          <w:kern w:val="2"/>
        </w:rPr>
        <w:t>。</w:t>
      </w:r>
    </w:p>
    <w:p w14:paraId="5230884A"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新申报方式</w:t>
      </w:r>
      <w:r>
        <w:rPr>
          <w:rFonts w:ascii="仿宋_GB2312" w:hAnsi="黑体" w:cs="黑体" w:hint="eastAsia"/>
          <w:snapToGrid/>
          <w:kern w:val="2"/>
        </w:rPr>
        <w:t>：发电企业、批发用户、售电公司采用分时段报量、单一报价的模式，按照24时段分别报量，以总量参与交易。</w:t>
      </w:r>
    </w:p>
    <w:p w14:paraId="2AE9616A"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原申报方式</w:t>
      </w:r>
      <w:r>
        <w:rPr>
          <w:rFonts w:ascii="仿宋_GB2312" w:hAnsi="黑体" w:cs="黑体" w:hint="eastAsia"/>
          <w:snapToGrid/>
          <w:kern w:val="2"/>
        </w:rPr>
        <w:t>：发电企业直接报总量参与交易，交易价格执行单一报价，尖峰、峰段、平段、</w:t>
      </w:r>
      <w:proofErr w:type="gramStart"/>
      <w:r>
        <w:rPr>
          <w:rFonts w:ascii="仿宋_GB2312" w:hAnsi="黑体" w:cs="黑体" w:hint="eastAsia"/>
          <w:snapToGrid/>
          <w:kern w:val="2"/>
        </w:rPr>
        <w:t>谷段各</w:t>
      </w:r>
      <w:proofErr w:type="gramEnd"/>
      <w:r>
        <w:rPr>
          <w:rFonts w:ascii="仿宋_GB2312" w:hAnsi="黑体" w:cs="黑体" w:hint="eastAsia"/>
          <w:snapToGrid/>
          <w:kern w:val="2"/>
        </w:rPr>
        <w:t>时段电价一致。批发用户、售电公司采用分时段报量、单一报价的模式，按照尖峰、峰段、平段、</w:t>
      </w:r>
      <w:proofErr w:type="gramStart"/>
      <w:r>
        <w:rPr>
          <w:rFonts w:ascii="仿宋_GB2312" w:hAnsi="黑体" w:cs="黑体" w:hint="eastAsia"/>
          <w:snapToGrid/>
          <w:kern w:val="2"/>
        </w:rPr>
        <w:t>谷段分别</w:t>
      </w:r>
      <w:proofErr w:type="gramEnd"/>
      <w:r>
        <w:rPr>
          <w:rFonts w:ascii="仿宋_GB2312" w:hAnsi="黑体" w:cs="黑体" w:hint="eastAsia"/>
          <w:snapToGrid/>
          <w:kern w:val="2"/>
        </w:rPr>
        <w:t>报量，以总量参与交易。</w:t>
      </w:r>
    </w:p>
    <w:p w14:paraId="564AF3E0"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黑体" w:cs="黑体" w:hint="eastAsia"/>
          <w:snapToGrid/>
          <w:kern w:val="2"/>
        </w:rPr>
        <w:t>（四）控</w:t>
      </w:r>
      <w:proofErr w:type="gramStart"/>
      <w:r>
        <w:rPr>
          <w:rFonts w:ascii="仿宋_GB2312" w:hAnsi="黑体" w:cs="黑体" w:hint="eastAsia"/>
          <w:snapToGrid/>
          <w:kern w:val="2"/>
        </w:rPr>
        <w:t>制售电</w:t>
      </w:r>
      <w:proofErr w:type="gramEnd"/>
      <w:r>
        <w:rPr>
          <w:rFonts w:ascii="仿宋_GB2312" w:hAnsi="黑体" w:cs="黑体" w:hint="eastAsia"/>
          <w:snapToGrid/>
          <w:kern w:val="2"/>
        </w:rPr>
        <w:t>公司超额收益。批零价差产生的超额收益由</w:t>
      </w:r>
      <w:r>
        <w:rPr>
          <w:rFonts w:ascii="仿宋_GB2312" w:hAnsi="黑体" w:cs="黑体" w:hint="eastAsia"/>
          <w:snapToGrid/>
          <w:kern w:val="2"/>
        </w:rPr>
        <w:lastRenderedPageBreak/>
        <w:t>售电公司与零售用户按协商比例分享，分享比例应大幅向零售用户倾斜</w:t>
      </w:r>
      <w:r>
        <w:rPr>
          <w:rFonts w:ascii="仿宋_GB2312" w:hAnsi="Calibri" w:cs="仿宋_GB2312" w:hint="eastAsia"/>
          <w:snapToGrid/>
          <w:kern w:val="2"/>
        </w:rPr>
        <w:t>。</w:t>
      </w:r>
    </w:p>
    <w:p w14:paraId="147AC673"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新传导方式</w:t>
      </w:r>
      <w:r>
        <w:rPr>
          <w:rFonts w:ascii="仿宋_GB2312" w:hAnsi="黑体" w:cs="黑体" w:hint="eastAsia"/>
          <w:snapToGrid/>
          <w:kern w:val="2"/>
        </w:rPr>
        <w:t>：</w:t>
      </w:r>
      <w:r>
        <w:rPr>
          <w:rFonts w:ascii="仿宋_GB2312" w:hAnsi="仿宋_GB2312" w:cs="仿宋_GB2312" w:hint="eastAsia"/>
        </w:rPr>
        <w:t>当售电公司当月零售价格高于当月零售市场均价，且其月度批零价差（Δ）满足Δ&gt;1.5 ×（2025年度市场平均批零价差）时，超额部分金额（Δ-1.5×年度平均价差）按照售电公司与零售用户协商确定的比例进行分享，分享比例应大幅向零售用户倾斜。</w:t>
      </w:r>
    </w:p>
    <w:p w14:paraId="451BD6BC"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原传导方式</w:t>
      </w:r>
      <w:r>
        <w:rPr>
          <w:rFonts w:ascii="仿宋_GB2312" w:hAnsi="黑体" w:cs="黑体" w:hint="eastAsia"/>
          <w:snapToGrid/>
          <w:kern w:val="2"/>
        </w:rPr>
        <w:t>：鼓励零售用户、售电公司约定零售价格上下限。</w:t>
      </w:r>
    </w:p>
    <w:p w14:paraId="5809C389"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（五）明确合同电量分配原则。</w:t>
      </w:r>
    </w:p>
    <w:p w14:paraId="099F456D" w14:textId="77777777" w:rsidR="00ED1FA8" w:rsidRDefault="00000000">
      <w:pPr>
        <w:snapToGrid w:val="0"/>
        <w:spacing w:line="600" w:lineRule="exact"/>
        <w:ind w:firstLineChars="200" w:firstLine="640"/>
        <w:rPr>
          <w:rFonts w:ascii="仿宋_GB2312" w:hAnsi="黑体" w:cs="黑体" w:hint="eastAsia"/>
        </w:rPr>
      </w:pPr>
      <w:r>
        <w:rPr>
          <w:rFonts w:ascii="楷体_GB2312" w:eastAsia="楷体_GB2312" w:hAnsi="黑体" w:cs="黑体" w:hint="eastAsia"/>
          <w:snapToGrid/>
          <w:kern w:val="2"/>
        </w:rPr>
        <w:t>新增：</w:t>
      </w:r>
      <w:r>
        <w:rPr>
          <w:rFonts w:ascii="仿宋_GB2312" w:hAnsi="黑体" w:cs="黑体" w:hint="eastAsia"/>
          <w:snapToGrid/>
          <w:kern w:val="2"/>
        </w:rPr>
        <w:t>原则上，售电公司</w:t>
      </w:r>
      <w:proofErr w:type="gramStart"/>
      <w:r>
        <w:rPr>
          <w:rFonts w:ascii="仿宋_GB2312" w:hAnsi="黑体" w:cs="黑体" w:hint="eastAsia"/>
          <w:snapToGrid/>
          <w:kern w:val="2"/>
        </w:rPr>
        <w:t>绿电交易</w:t>
      </w:r>
      <w:proofErr w:type="gramEnd"/>
      <w:r>
        <w:rPr>
          <w:rFonts w:ascii="仿宋_GB2312" w:hAnsi="黑体" w:cs="黑体" w:hint="eastAsia"/>
          <w:snapToGrid/>
          <w:kern w:val="2"/>
        </w:rPr>
        <w:t>电量需全部分配至零售用户。</w:t>
      </w:r>
    </w:p>
    <w:p w14:paraId="3E37143B"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（六）调整消纳责任权重指标。根据国家要求调整可再生能源电力消纳责任权重指标。</w:t>
      </w:r>
    </w:p>
    <w:p w14:paraId="620FE6A9"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新指标要求：</w:t>
      </w:r>
      <w:r>
        <w:rPr>
          <w:rFonts w:ascii="仿宋_GB2312" w:hAnsi="黑体" w:cs="黑体" w:hint="eastAsia"/>
          <w:snapToGrid/>
          <w:kern w:val="2"/>
        </w:rPr>
        <w:t>2026年，北京市承担消纳责任的经营主体年度最低消纳责任权重预期性指标暂定为31.6%（非水30.0%）</w:t>
      </w:r>
    </w:p>
    <w:p w14:paraId="1710C953" w14:textId="4E087F02" w:rsidR="00ED1FA8" w:rsidRDefault="00000000">
      <w:pPr>
        <w:snapToGrid w:val="0"/>
        <w:spacing w:line="600" w:lineRule="exact"/>
        <w:ind w:firstLineChars="200" w:firstLine="640"/>
        <w:rPr>
          <w:rFonts w:ascii="仿宋_GB2312" w:hAnsi="黑体" w:cs="黑体" w:hint="eastAsia"/>
          <w:snapToGrid/>
          <w:kern w:val="2"/>
        </w:rPr>
      </w:pPr>
      <w:proofErr w:type="gramStart"/>
      <w:r>
        <w:rPr>
          <w:rFonts w:ascii="楷体_GB2312" w:eastAsia="楷体_GB2312" w:hAnsi="黑体" w:cs="黑体" w:hint="eastAsia"/>
          <w:snapToGrid/>
          <w:kern w:val="2"/>
        </w:rPr>
        <w:t>原指标</w:t>
      </w:r>
      <w:proofErr w:type="gramEnd"/>
      <w:r>
        <w:rPr>
          <w:rFonts w:ascii="楷体_GB2312" w:eastAsia="楷体_GB2312" w:hAnsi="黑体" w:cs="黑体" w:hint="eastAsia"/>
          <w:snapToGrid/>
          <w:kern w:val="2"/>
        </w:rPr>
        <w:t>要求：</w:t>
      </w:r>
      <w:r w:rsidR="00F40C5C">
        <w:rPr>
          <w:rFonts w:ascii="仿宋_GB2312" w:hAnsi="黑体" w:cs="黑体" w:hint="eastAsia"/>
          <w:snapToGrid/>
          <w:kern w:val="2"/>
        </w:rPr>
        <w:t>2025</w:t>
      </w:r>
      <w:r>
        <w:rPr>
          <w:rFonts w:ascii="仿宋_GB2312" w:hAnsi="黑体" w:cs="黑体" w:hint="eastAsia"/>
          <w:snapToGrid/>
          <w:kern w:val="2"/>
        </w:rPr>
        <w:t>年，北京市承担消纳责任的经营主体年度最低消纳责任权重预期性指标暂定为26.36%（非水25.14%）。</w:t>
      </w:r>
    </w:p>
    <w:p w14:paraId="7A082627"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（七）根据我市电力市场建设需要提出组织分时交易培训及模拟测试要求。</w:t>
      </w:r>
    </w:p>
    <w:p w14:paraId="25AC9E6E" w14:textId="77777777" w:rsidR="00ED1FA8" w:rsidRDefault="00000000">
      <w:pPr>
        <w:numPr>
          <w:ilvl w:val="255"/>
          <w:numId w:val="0"/>
        </w:num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新增：</w:t>
      </w:r>
      <w:r>
        <w:rPr>
          <w:rFonts w:ascii="仿宋_GB2312" w:hAnsi="黑体" w:cs="黑体" w:hint="eastAsia"/>
          <w:snapToGrid/>
          <w:kern w:val="2"/>
        </w:rPr>
        <w:t>适时开展分时段电力交易相关培训及模拟测试工作。本市将根据模拟测试情况，适时对交易方式</w:t>
      </w:r>
      <w:proofErr w:type="gramStart"/>
      <w:r>
        <w:rPr>
          <w:rFonts w:ascii="仿宋_GB2312" w:hAnsi="黑体" w:cs="黑体" w:hint="eastAsia"/>
          <w:snapToGrid/>
          <w:kern w:val="2"/>
        </w:rPr>
        <w:t>作出</w:t>
      </w:r>
      <w:proofErr w:type="gramEnd"/>
      <w:r>
        <w:rPr>
          <w:rFonts w:ascii="仿宋_GB2312" w:hAnsi="黑体" w:cs="黑体" w:hint="eastAsia"/>
          <w:snapToGrid/>
          <w:kern w:val="2"/>
        </w:rPr>
        <w:t>调整。</w:t>
      </w:r>
    </w:p>
    <w:p w14:paraId="6A46A9F7" w14:textId="77777777" w:rsidR="00ED1FA8" w:rsidRDefault="00000000">
      <w:pPr>
        <w:numPr>
          <w:ilvl w:val="255"/>
          <w:numId w:val="0"/>
        </w:num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lastRenderedPageBreak/>
        <w:t>（八）将本市新能源发电企业纳入市场参与范围。</w:t>
      </w:r>
    </w:p>
    <w:p w14:paraId="33F357ED" w14:textId="77777777" w:rsidR="00ED1FA8" w:rsidRDefault="00000000">
      <w:pPr>
        <w:numPr>
          <w:ilvl w:val="255"/>
          <w:numId w:val="0"/>
        </w:num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新经营主体：</w:t>
      </w:r>
      <w:r>
        <w:rPr>
          <w:rFonts w:ascii="仿宋_GB2312" w:hAnsi="黑体" w:cs="黑体" w:hint="eastAsia"/>
          <w:snapToGrid/>
          <w:kern w:val="2"/>
        </w:rPr>
        <w:t>新能源发电企业、售电公司、电力用户。</w:t>
      </w:r>
    </w:p>
    <w:p w14:paraId="1980E7DB" w14:textId="77777777" w:rsidR="00ED1FA8" w:rsidRDefault="00000000">
      <w:pPr>
        <w:snapToGrid w:val="0"/>
        <w:spacing w:line="600" w:lineRule="exact"/>
        <w:ind w:firstLineChars="200" w:firstLine="640"/>
        <w:rPr>
          <w:rFonts w:ascii="仿宋_GB2312" w:hAnsi="黑体" w:cs="黑体" w:hint="eastAsia"/>
          <w:snapToGrid/>
          <w:kern w:val="2"/>
        </w:rPr>
      </w:pPr>
      <w:r>
        <w:rPr>
          <w:rFonts w:ascii="楷体_GB2312" w:eastAsia="楷体_GB2312" w:hAnsi="黑体" w:cs="黑体" w:hint="eastAsia"/>
          <w:snapToGrid/>
          <w:kern w:val="2"/>
        </w:rPr>
        <w:t>原经营主体：</w:t>
      </w:r>
      <w:r>
        <w:rPr>
          <w:rFonts w:ascii="仿宋_GB2312" w:hAnsi="黑体" w:cs="黑体" w:hint="eastAsia"/>
          <w:snapToGrid/>
          <w:kern w:val="2"/>
        </w:rPr>
        <w:t>售电公司、电力用户。</w:t>
      </w:r>
    </w:p>
    <w:p w14:paraId="014B7E5A"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黑体" w:cs="黑体" w:hint="eastAsia"/>
          <w:snapToGrid/>
          <w:kern w:val="2"/>
        </w:rPr>
        <w:t>（九）增开本市绿色电力交易。</w:t>
      </w:r>
    </w:p>
    <w:p w14:paraId="483AE23D" w14:textId="77777777" w:rsidR="00ED1FA8" w:rsidRDefault="00000000">
      <w:pPr>
        <w:snapToGrid w:val="0"/>
        <w:spacing w:line="600" w:lineRule="exact"/>
        <w:ind w:firstLineChars="200" w:firstLine="640"/>
        <w:rPr>
          <w:rFonts w:ascii="仿宋_GB2312" w:hAnsi="Calibri" w:cs="仿宋_GB2312"/>
          <w:snapToGrid/>
          <w:kern w:val="2"/>
        </w:rPr>
      </w:pPr>
      <w:r>
        <w:rPr>
          <w:rFonts w:ascii="楷体_GB2312" w:eastAsia="楷体_GB2312" w:hAnsi="黑体" w:cs="黑体" w:hint="eastAsia"/>
          <w:snapToGrid/>
          <w:kern w:val="2"/>
        </w:rPr>
        <w:t>新交易方式</w:t>
      </w:r>
      <w:r>
        <w:rPr>
          <w:rFonts w:ascii="仿宋_GB2312" w:hAnsi="Calibri" w:cs="仿宋_GB2312" w:hint="eastAsia"/>
          <w:snapToGrid/>
          <w:kern w:val="2"/>
        </w:rPr>
        <w:t>：2026年本市绿色电力交易主要包括本市经营主体参与北京市绿色电力交易、京津唐电网绿色电力交易、跨区跨省绿色电力交易。北京市绿色电力交易方式为双边协商、挂牌交易等。</w:t>
      </w:r>
    </w:p>
    <w:p w14:paraId="16062A10" w14:textId="77777777" w:rsidR="00ED1FA8" w:rsidRDefault="00000000">
      <w:pPr>
        <w:snapToGrid w:val="0"/>
        <w:spacing w:line="600" w:lineRule="exact"/>
        <w:ind w:firstLineChars="200" w:firstLine="640"/>
        <w:rPr>
          <w:rFonts w:ascii="仿宋_GB2312" w:hAnsi="Calibri" w:cs="仿宋_GB2312"/>
          <w:snapToGrid/>
          <w:kern w:val="2"/>
        </w:rPr>
      </w:pPr>
      <w:r>
        <w:rPr>
          <w:rFonts w:ascii="楷体_GB2312" w:eastAsia="楷体_GB2312" w:hAnsi="黑体" w:cs="黑体" w:hint="eastAsia"/>
          <w:snapToGrid/>
          <w:kern w:val="2"/>
        </w:rPr>
        <w:t>原交易方式</w:t>
      </w:r>
      <w:r>
        <w:rPr>
          <w:rFonts w:ascii="仿宋_GB2312" w:hAnsi="Calibri" w:cs="仿宋_GB2312" w:hint="eastAsia"/>
          <w:snapToGrid/>
          <w:kern w:val="2"/>
        </w:rPr>
        <w:t>：2025年本市绿色电力交易主要包括本市售电公司、电力用户参与京津唐电网绿色电力交易和跨区跨省绿色电力交易。</w:t>
      </w:r>
    </w:p>
    <w:p w14:paraId="058855F9"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（十）</w:t>
      </w:r>
      <w:r>
        <w:rPr>
          <w:rFonts w:ascii="仿宋_GB2312" w:hAnsi="黑体" w:cs="黑体" w:hint="eastAsia"/>
          <w:snapToGrid/>
          <w:kern w:val="2"/>
        </w:rPr>
        <w:t>优化经营主体参与跨区跨省</w:t>
      </w:r>
      <w:proofErr w:type="gramStart"/>
      <w:r>
        <w:rPr>
          <w:rFonts w:ascii="仿宋_GB2312" w:hAnsi="黑体" w:cs="黑体" w:hint="eastAsia"/>
          <w:snapToGrid/>
          <w:kern w:val="2"/>
        </w:rPr>
        <w:t>绿电交易</w:t>
      </w:r>
      <w:proofErr w:type="gramEnd"/>
      <w:r>
        <w:rPr>
          <w:rFonts w:ascii="仿宋_GB2312" w:hAnsi="黑体" w:cs="黑体" w:hint="eastAsia"/>
          <w:snapToGrid/>
          <w:kern w:val="2"/>
        </w:rPr>
        <w:t>的申报，促进了更大范围的绿色电力资源配置</w:t>
      </w:r>
      <w:r>
        <w:rPr>
          <w:rFonts w:ascii="仿宋_GB2312" w:hAnsi="Calibri" w:cs="仿宋_GB2312" w:hint="eastAsia"/>
          <w:snapToGrid/>
          <w:kern w:val="2"/>
        </w:rPr>
        <w:t>。</w:t>
      </w:r>
    </w:p>
    <w:p w14:paraId="5A56E0BC" w14:textId="77777777" w:rsidR="00ED1FA8" w:rsidRDefault="00000000">
      <w:pPr>
        <w:snapToGrid w:val="0"/>
        <w:spacing w:line="600" w:lineRule="exact"/>
        <w:ind w:firstLineChars="200" w:firstLine="640"/>
        <w:rPr>
          <w:rFonts w:ascii="仿宋_GB2312" w:hAnsi="Calibri" w:cs="仿宋_GB2312"/>
          <w:snapToGrid/>
          <w:kern w:val="2"/>
        </w:rPr>
      </w:pPr>
      <w:r>
        <w:rPr>
          <w:rFonts w:ascii="楷体_GB2312" w:eastAsia="楷体_GB2312" w:hAnsi="黑体" w:cs="黑体" w:hint="eastAsia"/>
          <w:snapToGrid/>
          <w:kern w:val="2"/>
        </w:rPr>
        <w:t>新方式</w:t>
      </w:r>
      <w:r>
        <w:rPr>
          <w:rFonts w:ascii="仿宋_GB2312" w:hAnsi="Calibri" w:cs="仿宋_GB2312" w:hint="eastAsia"/>
          <w:snapToGrid/>
          <w:kern w:val="2"/>
        </w:rPr>
        <w:t>：经营主体参与跨区跨省绿色电力交易时，应分时段报量、报价，以分时段成交结果加权价格参与峰谷浮动。</w:t>
      </w:r>
    </w:p>
    <w:p w14:paraId="51F87DBD" w14:textId="77777777" w:rsidR="00ED1FA8" w:rsidRDefault="00000000">
      <w:pPr>
        <w:snapToGrid w:val="0"/>
        <w:spacing w:line="600" w:lineRule="exact"/>
        <w:ind w:firstLineChars="200" w:firstLine="640"/>
        <w:rPr>
          <w:rFonts w:ascii="仿宋_GB2312" w:hAnsi="Calibri" w:cs="仿宋_GB2312"/>
          <w:snapToGrid/>
          <w:kern w:val="2"/>
        </w:rPr>
      </w:pPr>
      <w:r>
        <w:rPr>
          <w:rFonts w:ascii="楷体_GB2312" w:eastAsia="楷体_GB2312" w:hAnsi="黑体" w:cs="黑体" w:hint="eastAsia"/>
          <w:snapToGrid/>
          <w:kern w:val="2"/>
        </w:rPr>
        <w:t>原方式</w:t>
      </w:r>
      <w:r>
        <w:rPr>
          <w:rFonts w:ascii="仿宋_GB2312" w:hAnsi="Calibri" w:cs="仿宋_GB2312" w:hint="eastAsia"/>
          <w:snapToGrid/>
          <w:kern w:val="2"/>
        </w:rPr>
        <w:t>：经营主体采用分时段报量、单一报价的模式，以各时段总量参与交易。经营主体</w:t>
      </w:r>
      <w:proofErr w:type="gramStart"/>
      <w:r>
        <w:rPr>
          <w:rFonts w:ascii="仿宋_GB2312" w:hAnsi="Calibri" w:cs="仿宋_GB2312" w:hint="eastAsia"/>
          <w:snapToGrid/>
          <w:kern w:val="2"/>
        </w:rPr>
        <w:t>申报全</w:t>
      </w:r>
      <w:proofErr w:type="gramEnd"/>
      <w:r>
        <w:rPr>
          <w:rFonts w:ascii="仿宋_GB2312" w:hAnsi="Calibri" w:cs="仿宋_GB2312" w:hint="eastAsia"/>
          <w:snapToGrid/>
          <w:kern w:val="2"/>
        </w:rPr>
        <w:t>时段电量参与交易。</w:t>
      </w:r>
    </w:p>
    <w:p w14:paraId="44FC95A6"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黑体" w:cs="黑体" w:hint="eastAsia"/>
          <w:snapToGrid/>
          <w:kern w:val="2"/>
        </w:rPr>
        <w:t>（十一）明确本市新能源发电企业参与市场交易时间，并新增相应的电力中长期交易实施细则。</w:t>
      </w:r>
    </w:p>
    <w:p w14:paraId="2905E0EA" w14:textId="77777777" w:rsidR="00ED1FA8" w:rsidRDefault="00000000">
      <w:pPr>
        <w:snapToGrid w:val="0"/>
        <w:spacing w:line="600" w:lineRule="exact"/>
        <w:ind w:firstLineChars="200" w:firstLine="640"/>
        <w:rPr>
          <w:rFonts w:ascii="仿宋_GB2312" w:hAnsi="Calibri" w:cs="仿宋_GB2312"/>
          <w:snapToGrid/>
          <w:kern w:val="2"/>
        </w:rPr>
      </w:pPr>
      <w:r>
        <w:rPr>
          <w:rFonts w:ascii="楷体_GB2312" w:eastAsia="楷体_GB2312" w:hAnsi="黑体" w:cs="黑体" w:hint="eastAsia"/>
          <w:snapToGrid/>
          <w:kern w:val="2"/>
        </w:rPr>
        <w:t>新增：</w:t>
      </w:r>
      <w:r>
        <w:rPr>
          <w:rFonts w:ascii="仿宋_GB2312" w:hAnsi="Calibri" w:cs="仿宋_GB2312" w:hint="eastAsia"/>
          <w:snapToGrid/>
          <w:kern w:val="2"/>
        </w:rPr>
        <w:t>本市新能源发电企业自2025年12月参与市场交易，实施细则主要内容如下：</w:t>
      </w:r>
    </w:p>
    <w:p w14:paraId="61924227"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lastRenderedPageBreak/>
        <w:t>1.适用于集中式光伏、风电；分布式光伏、分散式风电；</w:t>
      </w:r>
    </w:p>
    <w:p w14:paraId="4300C781" w14:textId="77777777" w:rsidR="00ED1FA8" w:rsidRDefault="00000000">
      <w:pPr>
        <w:snapToGrid w:val="0"/>
        <w:spacing w:line="600" w:lineRule="exact"/>
        <w:ind w:firstLineChars="200" w:firstLine="640"/>
        <w:rPr>
          <w:rFonts w:ascii="仿宋_GB2312" w:hAnsi="Calibri" w:cs="仿宋_GB2312"/>
          <w:snapToGrid/>
          <w:kern w:val="2"/>
        </w:rPr>
      </w:pPr>
      <w:r>
        <w:rPr>
          <w:rFonts w:ascii="仿宋_GB2312" w:hAnsi="Calibri" w:cs="仿宋_GB2312" w:hint="eastAsia"/>
          <w:snapToGrid/>
          <w:kern w:val="2"/>
        </w:rPr>
        <w:t>2.对纳入机制的电量，</w:t>
      </w:r>
      <w:proofErr w:type="gramStart"/>
      <w:r>
        <w:rPr>
          <w:rFonts w:ascii="仿宋_GB2312" w:hAnsi="Calibri" w:cs="仿宋_GB2312" w:hint="eastAsia"/>
          <w:snapToGrid/>
          <w:kern w:val="2"/>
        </w:rPr>
        <w:t>由国网北京市</w:t>
      </w:r>
      <w:proofErr w:type="gramEnd"/>
      <w:r>
        <w:rPr>
          <w:rFonts w:ascii="仿宋_GB2312" w:hAnsi="Calibri" w:cs="仿宋_GB2312" w:hint="eastAsia"/>
          <w:snapToGrid/>
          <w:kern w:val="2"/>
        </w:rPr>
        <w:t>电力公司按月开展结算；</w:t>
      </w:r>
    </w:p>
    <w:p w14:paraId="0FF28AF0" w14:textId="77777777" w:rsidR="00ED1FA8" w:rsidRDefault="00000000">
      <w:pPr>
        <w:snapToGrid w:val="0"/>
        <w:spacing w:line="600" w:lineRule="exact"/>
        <w:ind w:firstLineChars="200" w:firstLine="640"/>
        <w:rPr>
          <w:rFonts w:ascii="仿宋_GB2312" w:hAnsi="黑体" w:cs="黑体" w:hint="eastAsia"/>
          <w:snapToGrid/>
          <w:kern w:val="2"/>
        </w:rPr>
      </w:pPr>
      <w:r>
        <w:rPr>
          <w:rFonts w:ascii="仿宋_GB2312" w:hAnsi="Calibri" w:cs="仿宋_GB2312" w:hint="eastAsia"/>
          <w:snapToGrid/>
          <w:kern w:val="2"/>
        </w:rPr>
        <w:t>3.明确本市新能源发电企业的交易方式、价格机制、交易组织及交易结算等内容。</w:t>
      </w:r>
    </w:p>
    <w:p w14:paraId="66C8E251" w14:textId="77777777" w:rsidR="00ED1FA8" w:rsidRDefault="00000000">
      <w:pPr>
        <w:numPr>
          <w:ilvl w:val="0"/>
          <w:numId w:val="6"/>
        </w:numPr>
        <w:snapToGrid w:val="0"/>
        <w:spacing w:line="600" w:lineRule="exact"/>
        <w:ind w:firstLine="640"/>
        <w:rPr>
          <w:rFonts w:ascii="仿宋_GB2312" w:hAnsi="Calibri" w:cs="仿宋_GB2312"/>
          <w:snapToGrid/>
          <w:kern w:val="2"/>
        </w:rPr>
      </w:pPr>
      <w:r>
        <w:rPr>
          <w:rFonts w:ascii="黑体" w:eastAsia="黑体" w:hAnsi="黑体" w:cs="黑体" w:hint="eastAsia"/>
          <w:snapToGrid/>
          <w:kern w:val="2"/>
        </w:rPr>
        <w:t>热点敏感问题口径</w:t>
      </w:r>
    </w:p>
    <w:p w14:paraId="3EE84C62" w14:textId="38E27DE3" w:rsidR="00ED1FA8" w:rsidRDefault="00000000" w:rsidP="00E832B6">
      <w:pPr>
        <w:snapToGrid w:val="0"/>
        <w:spacing w:line="600" w:lineRule="exact"/>
        <w:ind w:firstLineChars="200" w:firstLine="640"/>
        <w:rPr>
          <w:rFonts w:hint="eastAsia"/>
        </w:rPr>
      </w:pPr>
      <w:r>
        <w:rPr>
          <w:rFonts w:ascii="仿宋_GB2312" w:hAnsi="Calibri" w:cs="仿宋_GB2312" w:hint="eastAsia"/>
          <w:snapToGrid/>
          <w:kern w:val="2"/>
        </w:rPr>
        <w:t>无。</w:t>
      </w:r>
    </w:p>
    <w:sectPr w:rsidR="00ED1FA8" w:rsidSect="00E832B6">
      <w:footerReference w:type="default" r:id="rId8"/>
      <w:footerReference w:type="first" r:id="rId9"/>
      <w:pgSz w:w="11906" w:h="16838"/>
      <w:pgMar w:top="2098" w:right="1474" w:bottom="1984" w:left="1587" w:header="851" w:footer="1304" w:gutter="0"/>
      <w:cols w:space="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176C" w14:textId="77777777" w:rsidR="00B16F04" w:rsidRDefault="00B16F04">
      <w:pPr>
        <w:rPr>
          <w:rFonts w:hint="eastAsia"/>
        </w:rPr>
      </w:pPr>
      <w:r>
        <w:separator/>
      </w:r>
    </w:p>
  </w:endnote>
  <w:endnote w:type="continuationSeparator" w:id="0">
    <w:p w14:paraId="5A762F50" w14:textId="77777777" w:rsidR="00B16F04" w:rsidRDefault="00B16F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Noto Serif Bengali"/>
    <w:panose1 w:val="02020404030301010803"/>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0C0A" w14:textId="77777777" w:rsidR="00ED1FA8" w:rsidRDefault="00000000">
    <w:pPr>
      <w:pStyle w:val="af2"/>
      <w:rPr>
        <w:rFonts w:hint="eastAsia"/>
      </w:rPr>
    </w:pPr>
    <w:r>
      <w:rPr>
        <w:noProof/>
      </w:rPr>
      <mc:AlternateContent>
        <mc:Choice Requires="wps">
          <w:drawing>
            <wp:anchor distT="0" distB="0" distL="114300" distR="114300" simplePos="0" relativeHeight="251657216" behindDoc="0" locked="0" layoutInCell="1" allowOverlap="1" wp14:anchorId="7202894F" wp14:editId="665A9455">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7FFBB" w14:textId="77777777" w:rsidR="00ED1FA8" w:rsidRDefault="00000000">
                          <w:pPr>
                            <w:snapToGrid w:val="0"/>
                            <w:rPr>
                              <w:rFonts w:eastAsia="宋体" w:cs="宋体" w:hint="eastAsia"/>
                              <w:sz w:val="21"/>
                              <w:szCs w:val="21"/>
                            </w:rPr>
                          </w:pPr>
                          <w:r>
                            <w:rPr>
                              <w:rFonts w:eastAsia="宋体" w:cs="宋体" w:hint="eastAsia"/>
                              <w:sz w:val="21"/>
                              <w:szCs w:val="21"/>
                            </w:rPr>
                            <w:fldChar w:fldCharType="begin"/>
                          </w:r>
                          <w:r>
                            <w:rPr>
                              <w:rFonts w:eastAsia="宋体" w:cs="宋体" w:hint="eastAsia"/>
                              <w:sz w:val="21"/>
                              <w:szCs w:val="21"/>
                            </w:rPr>
                            <w:instrText xml:space="preserve"> PAGE  \* MERGEFORMAT </w:instrText>
                          </w:r>
                          <w:r>
                            <w:rPr>
                              <w:rFonts w:eastAsia="宋体" w:cs="宋体" w:hint="eastAsia"/>
                              <w:sz w:val="21"/>
                              <w:szCs w:val="21"/>
                            </w:rPr>
                            <w:fldChar w:fldCharType="separate"/>
                          </w:r>
                          <w:r>
                            <w:rPr>
                              <w:rFonts w:eastAsia="宋体" w:cs="宋体" w:hint="eastAsia"/>
                              <w:sz w:val="21"/>
                              <w:szCs w:val="21"/>
                            </w:rPr>
                            <w:t>2</w:t>
                          </w:r>
                          <w:r>
                            <w:rPr>
                              <w:rFonts w:eastAsia="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02894F" id="_x0000_t202" coordsize="21600,21600" o:spt="202" path="m,l,21600r21600,l21600,xe">
              <v:stroke joinstyle="miter"/>
              <v:path gradientshapeok="t" o:connecttype="rect"/>
            </v:shapetype>
            <v:shape id="文本框 5"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467FFBB" w14:textId="77777777" w:rsidR="00ED1FA8" w:rsidRDefault="00000000">
                    <w:pPr>
                      <w:snapToGrid w:val="0"/>
                      <w:rPr>
                        <w:rFonts w:eastAsia="宋体" w:cs="宋体" w:hint="eastAsia"/>
                        <w:sz w:val="21"/>
                        <w:szCs w:val="21"/>
                      </w:rPr>
                    </w:pPr>
                    <w:r>
                      <w:rPr>
                        <w:rFonts w:eastAsia="宋体" w:cs="宋体" w:hint="eastAsia"/>
                        <w:sz w:val="21"/>
                        <w:szCs w:val="21"/>
                      </w:rPr>
                      <w:fldChar w:fldCharType="begin"/>
                    </w:r>
                    <w:r>
                      <w:rPr>
                        <w:rFonts w:eastAsia="宋体" w:cs="宋体" w:hint="eastAsia"/>
                        <w:sz w:val="21"/>
                        <w:szCs w:val="21"/>
                      </w:rPr>
                      <w:instrText xml:space="preserve"> PAGE  \* MERGEFORMAT </w:instrText>
                    </w:r>
                    <w:r>
                      <w:rPr>
                        <w:rFonts w:eastAsia="宋体" w:cs="宋体" w:hint="eastAsia"/>
                        <w:sz w:val="21"/>
                        <w:szCs w:val="21"/>
                      </w:rPr>
                      <w:fldChar w:fldCharType="separate"/>
                    </w:r>
                    <w:r>
                      <w:rPr>
                        <w:rFonts w:eastAsia="宋体" w:cs="宋体" w:hint="eastAsia"/>
                        <w:sz w:val="21"/>
                        <w:szCs w:val="21"/>
                      </w:rPr>
                      <w:t>2</w:t>
                    </w:r>
                    <w:r>
                      <w:rPr>
                        <w:rFonts w:eastAsia="宋体" w:cs="宋体" w:hint="eastAsia"/>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62AC" w14:textId="77777777" w:rsidR="00ED1FA8" w:rsidRDefault="00000000">
    <w:pPr>
      <w:pStyle w:val="af2"/>
      <w:tabs>
        <w:tab w:val="clear" w:pos="4153"/>
        <w:tab w:val="center" w:pos="4422"/>
      </w:tabs>
      <w:rPr>
        <w:rFonts w:hint="eastAsia"/>
        <w:sz w:val="36"/>
        <w:szCs w:val="36"/>
      </w:rPr>
    </w:pPr>
    <w:r>
      <w:rPr>
        <w:noProof/>
        <w:sz w:val="36"/>
        <w:szCs w:val="36"/>
      </w:rPr>
      <mc:AlternateContent>
        <mc:Choice Requires="wps">
          <w:drawing>
            <wp:anchor distT="0" distB="0" distL="114300" distR="114300" simplePos="0" relativeHeight="251659264" behindDoc="0" locked="0" layoutInCell="1" allowOverlap="1" wp14:anchorId="3BF96BCD" wp14:editId="6AA9790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370D" w14:textId="77777777" w:rsidR="00ED1FA8" w:rsidRDefault="00000000">
                          <w:pPr>
                            <w:pStyle w:val="af2"/>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F96BCD"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4A7370D" w14:textId="77777777" w:rsidR="00ED1FA8" w:rsidRDefault="00000000">
                    <w:pPr>
                      <w:pStyle w:val="af2"/>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r>
      <w:rPr>
        <w:rFonts w:hint="eastAsia"/>
        <w:sz w:val="36"/>
        <w:szCs w:val="3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5009" w14:textId="77777777" w:rsidR="00B16F04" w:rsidRDefault="00B16F04">
      <w:pPr>
        <w:rPr>
          <w:rFonts w:hint="eastAsia"/>
        </w:rPr>
      </w:pPr>
      <w:r>
        <w:separator/>
      </w:r>
    </w:p>
  </w:footnote>
  <w:footnote w:type="continuationSeparator" w:id="0">
    <w:p w14:paraId="50936742" w14:textId="77777777" w:rsidR="00B16F04" w:rsidRDefault="00B16F0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64307"/>
    <w:multiLevelType w:val="singleLevel"/>
    <w:tmpl w:val="F8264307"/>
    <w:lvl w:ilvl="0">
      <w:start w:val="2"/>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
      <w:suff w:val="nothing"/>
      <w:lvlText w:val="（%1）"/>
      <w:lvlJc w:val="left"/>
      <w:pPr>
        <w:ind w:left="0" w:firstLine="420"/>
      </w:pPr>
      <w:rPr>
        <w:rFonts w:hint="eastAsia"/>
      </w:rPr>
    </w:lvl>
  </w:abstractNum>
  <w:abstractNum w:abstractNumId="2" w15:restartNumberingAfterBreak="0">
    <w:nsid w:val="3917CBA7"/>
    <w:multiLevelType w:val="singleLevel"/>
    <w:tmpl w:val="3917CBA7"/>
    <w:lvl w:ilvl="0">
      <w:start w:val="1"/>
      <w:numFmt w:val="chineseCounting"/>
      <w:suff w:val="nothing"/>
      <w:lvlText w:val="%1、"/>
      <w:lvlJc w:val="left"/>
      <w:rPr>
        <w:rFonts w:ascii="黑体" w:eastAsia="黑体" w:hAnsi="黑体" w:cs="黑体" w:hint="eastAsia"/>
      </w:rPr>
    </w:lvl>
  </w:abstractNum>
  <w:abstractNum w:abstractNumId="3" w15:restartNumberingAfterBreak="0">
    <w:nsid w:val="637C5B49"/>
    <w:multiLevelType w:val="singleLevel"/>
    <w:tmpl w:val="637C5B49"/>
    <w:lvl w:ilvl="0">
      <w:start w:val="1"/>
      <w:numFmt w:val="chineseCounting"/>
      <w:suff w:val="nothing"/>
      <w:lvlText w:val="（%1）"/>
      <w:lvlJc w:val="left"/>
      <w:pPr>
        <w:ind w:left="0" w:firstLine="420"/>
      </w:pPr>
      <w:rPr>
        <w:rFonts w:ascii="仿宋_GB2312" w:eastAsia="仿宋_GB2312" w:hint="eastAsia"/>
        <w:sz w:val="32"/>
        <w:szCs w:val="32"/>
      </w:rPr>
    </w:lvl>
  </w:abstractNum>
  <w:abstractNum w:abstractNumId="4" w15:restartNumberingAfterBreak="0">
    <w:nsid w:val="654A144B"/>
    <w:multiLevelType w:val="singleLevel"/>
    <w:tmpl w:val="654A144B"/>
    <w:lvl w:ilvl="0">
      <w:start w:val="1"/>
      <w:numFmt w:val="chineseCounting"/>
      <w:suff w:val="nothing"/>
      <w:lvlText w:val="%1、"/>
      <w:lvlJc w:val="left"/>
      <w:pPr>
        <w:ind w:left="0" w:firstLine="420"/>
      </w:pPr>
      <w:rPr>
        <w:rFonts w:hint="eastAsia"/>
      </w:rPr>
    </w:lvl>
  </w:abstractNum>
  <w:abstractNum w:abstractNumId="5" w15:restartNumberingAfterBreak="0">
    <w:nsid w:val="76C75909"/>
    <w:multiLevelType w:val="singleLevel"/>
    <w:tmpl w:val="76C75909"/>
    <w:lvl w:ilvl="0">
      <w:start w:val="1"/>
      <w:numFmt w:val="chineseCounting"/>
      <w:suff w:val="nothing"/>
      <w:lvlText w:val="%1、"/>
      <w:lvlJc w:val="left"/>
      <w:pPr>
        <w:ind w:left="0" w:firstLine="420"/>
      </w:pPr>
      <w:rPr>
        <w:rFonts w:hint="eastAsia"/>
      </w:rPr>
    </w:lvl>
  </w:abstractNum>
  <w:num w:numId="1" w16cid:durableId="1654917930">
    <w:abstractNumId w:val="4"/>
  </w:num>
  <w:num w:numId="2" w16cid:durableId="516818771">
    <w:abstractNumId w:val="3"/>
  </w:num>
  <w:num w:numId="3" w16cid:durableId="941031441">
    <w:abstractNumId w:val="0"/>
  </w:num>
  <w:num w:numId="4" w16cid:durableId="1327896647">
    <w:abstractNumId w:val="1"/>
  </w:num>
  <w:num w:numId="5" w16cid:durableId="2081828518">
    <w:abstractNumId w:val="5"/>
  </w:num>
  <w:num w:numId="6" w16cid:durableId="74379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6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I1NDNmMjBmZjExNTQyMzAzZjQ3ZjU2YTJjZDliMDUifQ=="/>
  </w:docVars>
  <w:rsids>
    <w:rsidRoot w:val="00172A27"/>
    <w:rsid w:val="84EFBA69"/>
    <w:rsid w:val="87F11C36"/>
    <w:rsid w:val="8AEF76BF"/>
    <w:rsid w:val="8B57D699"/>
    <w:rsid w:val="8BFFC82F"/>
    <w:rsid w:val="8CEFDA45"/>
    <w:rsid w:val="8DD4566B"/>
    <w:rsid w:val="92FA315A"/>
    <w:rsid w:val="937B6F8D"/>
    <w:rsid w:val="95FAE282"/>
    <w:rsid w:val="96F60ECB"/>
    <w:rsid w:val="9AFB791E"/>
    <w:rsid w:val="9D7E851D"/>
    <w:rsid w:val="9EB31FE7"/>
    <w:rsid w:val="9EF39A63"/>
    <w:rsid w:val="9F2F0417"/>
    <w:rsid w:val="9F7D7693"/>
    <w:rsid w:val="9FF3D805"/>
    <w:rsid w:val="A7794EE5"/>
    <w:rsid w:val="A7BE59F9"/>
    <w:rsid w:val="AB91D909"/>
    <w:rsid w:val="ABFE4FD6"/>
    <w:rsid w:val="ADDBF4A8"/>
    <w:rsid w:val="B2E50FF9"/>
    <w:rsid w:val="B2F4132A"/>
    <w:rsid w:val="B6FE6A5A"/>
    <w:rsid w:val="B77F763B"/>
    <w:rsid w:val="B77F8FEA"/>
    <w:rsid w:val="B77FFBBF"/>
    <w:rsid w:val="B7FFED75"/>
    <w:rsid w:val="B95B8AC3"/>
    <w:rsid w:val="B9AFDCF4"/>
    <w:rsid w:val="BBB713F8"/>
    <w:rsid w:val="BBDE0A00"/>
    <w:rsid w:val="BBE89E9D"/>
    <w:rsid w:val="BBF6860C"/>
    <w:rsid w:val="BBFFA7EF"/>
    <w:rsid w:val="BD67CC89"/>
    <w:rsid w:val="BDBF4B1D"/>
    <w:rsid w:val="BDF6C8D8"/>
    <w:rsid w:val="BDFDF24F"/>
    <w:rsid w:val="BE9AA65E"/>
    <w:rsid w:val="BEBF7AAF"/>
    <w:rsid w:val="BF724B80"/>
    <w:rsid w:val="BF769558"/>
    <w:rsid w:val="BF7F0AF0"/>
    <w:rsid w:val="BF962978"/>
    <w:rsid w:val="BFB68485"/>
    <w:rsid w:val="BFBE1C76"/>
    <w:rsid w:val="BFC8FBC7"/>
    <w:rsid w:val="BFF16AF4"/>
    <w:rsid w:val="BFF3429E"/>
    <w:rsid w:val="BFFB5F82"/>
    <w:rsid w:val="BFFD6490"/>
    <w:rsid w:val="BFFF8812"/>
    <w:rsid w:val="C57F19DA"/>
    <w:rsid w:val="C6C7844C"/>
    <w:rsid w:val="C8FF2700"/>
    <w:rsid w:val="CB3F1175"/>
    <w:rsid w:val="CCEAF677"/>
    <w:rsid w:val="CDB3AD1F"/>
    <w:rsid w:val="CFBD5B7F"/>
    <w:rsid w:val="CFEF5BAB"/>
    <w:rsid w:val="D07F2DF6"/>
    <w:rsid w:val="D29FAE75"/>
    <w:rsid w:val="D5D382EE"/>
    <w:rsid w:val="D6F90AFD"/>
    <w:rsid w:val="D7BF231F"/>
    <w:rsid w:val="D7DEC0DD"/>
    <w:rsid w:val="D7DF7C12"/>
    <w:rsid w:val="D7FD0F89"/>
    <w:rsid w:val="DAFDF0E0"/>
    <w:rsid w:val="DB7ED6CB"/>
    <w:rsid w:val="DBED9BDA"/>
    <w:rsid w:val="DD314086"/>
    <w:rsid w:val="DD7F0086"/>
    <w:rsid w:val="DDCD6140"/>
    <w:rsid w:val="DDED440F"/>
    <w:rsid w:val="DDF74E82"/>
    <w:rsid w:val="DEBD2D84"/>
    <w:rsid w:val="DEE7B509"/>
    <w:rsid w:val="DEFF1367"/>
    <w:rsid w:val="DF5750D5"/>
    <w:rsid w:val="DF5B7A9D"/>
    <w:rsid w:val="DF9F1424"/>
    <w:rsid w:val="DFDF685B"/>
    <w:rsid w:val="DFEF6434"/>
    <w:rsid w:val="DFF88CD7"/>
    <w:rsid w:val="DFFAAECC"/>
    <w:rsid w:val="DFFB3215"/>
    <w:rsid w:val="DFFB8B7A"/>
    <w:rsid w:val="DFFF15F0"/>
    <w:rsid w:val="DFFF3E58"/>
    <w:rsid w:val="E7B4310E"/>
    <w:rsid w:val="E7D2B630"/>
    <w:rsid w:val="E7DBF087"/>
    <w:rsid w:val="E7F77AFC"/>
    <w:rsid w:val="E7FC56C5"/>
    <w:rsid w:val="E7FF6F89"/>
    <w:rsid w:val="E97B7166"/>
    <w:rsid w:val="EAB1C343"/>
    <w:rsid w:val="EBD7E3F0"/>
    <w:rsid w:val="EBDFC361"/>
    <w:rsid w:val="EC9F5989"/>
    <w:rsid w:val="ECCF85EC"/>
    <w:rsid w:val="EEDF0300"/>
    <w:rsid w:val="EF7FD19E"/>
    <w:rsid w:val="EFAD1FF4"/>
    <w:rsid w:val="EFB437D5"/>
    <w:rsid w:val="EFC73F7C"/>
    <w:rsid w:val="EFCE6DD2"/>
    <w:rsid w:val="EFE75DF5"/>
    <w:rsid w:val="EFEFAA88"/>
    <w:rsid w:val="EFEFFD5E"/>
    <w:rsid w:val="EFF143F9"/>
    <w:rsid w:val="EFF72413"/>
    <w:rsid w:val="EFF7FA2D"/>
    <w:rsid w:val="EFF938A8"/>
    <w:rsid w:val="EFFBA383"/>
    <w:rsid w:val="F1AD6C41"/>
    <w:rsid w:val="F27C5B8C"/>
    <w:rsid w:val="F2F61215"/>
    <w:rsid w:val="F3BE4C61"/>
    <w:rsid w:val="F3DF75B3"/>
    <w:rsid w:val="F53E91DF"/>
    <w:rsid w:val="F53F3753"/>
    <w:rsid w:val="F56F15A7"/>
    <w:rsid w:val="F57FFADB"/>
    <w:rsid w:val="F5FDA7D9"/>
    <w:rsid w:val="F6FC0824"/>
    <w:rsid w:val="F767FBB1"/>
    <w:rsid w:val="F7BAED10"/>
    <w:rsid w:val="F7D79C11"/>
    <w:rsid w:val="F7DF87A2"/>
    <w:rsid w:val="F7DFBB3C"/>
    <w:rsid w:val="F7EB09F8"/>
    <w:rsid w:val="F7F5FE29"/>
    <w:rsid w:val="F7FE2C09"/>
    <w:rsid w:val="F7FF9315"/>
    <w:rsid w:val="F90F8F7C"/>
    <w:rsid w:val="F97FDD2B"/>
    <w:rsid w:val="F9AB903F"/>
    <w:rsid w:val="F9BFAF22"/>
    <w:rsid w:val="F9F32820"/>
    <w:rsid w:val="F9FB6609"/>
    <w:rsid w:val="F9FF4599"/>
    <w:rsid w:val="FA6F5E89"/>
    <w:rsid w:val="FABC319B"/>
    <w:rsid w:val="FAFFA69D"/>
    <w:rsid w:val="FB56B0C2"/>
    <w:rsid w:val="FB81453C"/>
    <w:rsid w:val="FB96F91F"/>
    <w:rsid w:val="FBB36CAF"/>
    <w:rsid w:val="FD3785CC"/>
    <w:rsid w:val="FD7B0087"/>
    <w:rsid w:val="FDBD2CFA"/>
    <w:rsid w:val="FDBF4BC4"/>
    <w:rsid w:val="FDDF2402"/>
    <w:rsid w:val="FDF6A749"/>
    <w:rsid w:val="FDFD23B3"/>
    <w:rsid w:val="FE4D6CDE"/>
    <w:rsid w:val="FE62708A"/>
    <w:rsid w:val="FE8FD1F9"/>
    <w:rsid w:val="FEB10F91"/>
    <w:rsid w:val="FECDD73C"/>
    <w:rsid w:val="FEDD5D85"/>
    <w:rsid w:val="FEEE2160"/>
    <w:rsid w:val="FEEF0B76"/>
    <w:rsid w:val="FEF573FA"/>
    <w:rsid w:val="FEF7226B"/>
    <w:rsid w:val="FEF97E2C"/>
    <w:rsid w:val="FF4363BD"/>
    <w:rsid w:val="FF6A1EAC"/>
    <w:rsid w:val="FF795FD4"/>
    <w:rsid w:val="FF7BCA5A"/>
    <w:rsid w:val="FF7FA287"/>
    <w:rsid w:val="FF7FFAB1"/>
    <w:rsid w:val="FF9E5115"/>
    <w:rsid w:val="FFAF1D2E"/>
    <w:rsid w:val="FFB4DABA"/>
    <w:rsid w:val="FFBF9976"/>
    <w:rsid w:val="FFD5D403"/>
    <w:rsid w:val="FFD65B47"/>
    <w:rsid w:val="FFD7658D"/>
    <w:rsid w:val="FFDB4044"/>
    <w:rsid w:val="FFDF00DE"/>
    <w:rsid w:val="FFDF3120"/>
    <w:rsid w:val="FFDF4D62"/>
    <w:rsid w:val="FFDF8C57"/>
    <w:rsid w:val="FFE7DECB"/>
    <w:rsid w:val="FFE8271B"/>
    <w:rsid w:val="FFEB05CE"/>
    <w:rsid w:val="FFEE8F39"/>
    <w:rsid w:val="FFEFE519"/>
    <w:rsid w:val="FFF3430A"/>
    <w:rsid w:val="FFF5AF3A"/>
    <w:rsid w:val="FFF6915B"/>
    <w:rsid w:val="FFFD9234"/>
    <w:rsid w:val="FFFF01CB"/>
    <w:rsid w:val="FFFF7066"/>
    <w:rsid w:val="FFFFCF5E"/>
    <w:rsid w:val="00000446"/>
    <w:rsid w:val="000008EF"/>
    <w:rsid w:val="00000AC4"/>
    <w:rsid w:val="000010DA"/>
    <w:rsid w:val="00001367"/>
    <w:rsid w:val="00001BF6"/>
    <w:rsid w:val="00002985"/>
    <w:rsid w:val="00003142"/>
    <w:rsid w:val="00003733"/>
    <w:rsid w:val="00003B08"/>
    <w:rsid w:val="00003CE3"/>
    <w:rsid w:val="00003F62"/>
    <w:rsid w:val="000049A2"/>
    <w:rsid w:val="00004C7B"/>
    <w:rsid w:val="00004D78"/>
    <w:rsid w:val="00005289"/>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692D"/>
    <w:rsid w:val="00057A0B"/>
    <w:rsid w:val="00057D35"/>
    <w:rsid w:val="00057F85"/>
    <w:rsid w:val="000625C3"/>
    <w:rsid w:val="00062B9E"/>
    <w:rsid w:val="00063693"/>
    <w:rsid w:val="000646E6"/>
    <w:rsid w:val="00064852"/>
    <w:rsid w:val="00064896"/>
    <w:rsid w:val="000652A4"/>
    <w:rsid w:val="00065D01"/>
    <w:rsid w:val="00066D4A"/>
    <w:rsid w:val="00066E6D"/>
    <w:rsid w:val="00066F46"/>
    <w:rsid w:val="00067343"/>
    <w:rsid w:val="000675A6"/>
    <w:rsid w:val="00072AA9"/>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4D57"/>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3FEF"/>
    <w:rsid w:val="000C4EC7"/>
    <w:rsid w:val="000C6243"/>
    <w:rsid w:val="000C65BD"/>
    <w:rsid w:val="000C69C7"/>
    <w:rsid w:val="000C69FF"/>
    <w:rsid w:val="000C774E"/>
    <w:rsid w:val="000D0A06"/>
    <w:rsid w:val="000D195B"/>
    <w:rsid w:val="000D3D4A"/>
    <w:rsid w:val="000D3F03"/>
    <w:rsid w:val="000D40D6"/>
    <w:rsid w:val="000D7B38"/>
    <w:rsid w:val="000E02D4"/>
    <w:rsid w:val="000E18E5"/>
    <w:rsid w:val="000E1F66"/>
    <w:rsid w:val="000E4519"/>
    <w:rsid w:val="000E4CDA"/>
    <w:rsid w:val="000E4D33"/>
    <w:rsid w:val="000E5276"/>
    <w:rsid w:val="000E5FC5"/>
    <w:rsid w:val="000E64F6"/>
    <w:rsid w:val="000F1F88"/>
    <w:rsid w:val="000F1FC8"/>
    <w:rsid w:val="000F4AB0"/>
    <w:rsid w:val="000F4B52"/>
    <w:rsid w:val="000F4E12"/>
    <w:rsid w:val="000F4F3A"/>
    <w:rsid w:val="000F571B"/>
    <w:rsid w:val="000F5DF5"/>
    <w:rsid w:val="000F78E7"/>
    <w:rsid w:val="000F794B"/>
    <w:rsid w:val="000F7E52"/>
    <w:rsid w:val="001007A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32E8"/>
    <w:rsid w:val="00144478"/>
    <w:rsid w:val="00144A04"/>
    <w:rsid w:val="001455FB"/>
    <w:rsid w:val="0014652F"/>
    <w:rsid w:val="00146DE8"/>
    <w:rsid w:val="00147566"/>
    <w:rsid w:val="0014775D"/>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51E"/>
    <w:rsid w:val="00162EB8"/>
    <w:rsid w:val="00164357"/>
    <w:rsid w:val="001646A1"/>
    <w:rsid w:val="00164988"/>
    <w:rsid w:val="00165688"/>
    <w:rsid w:val="00166654"/>
    <w:rsid w:val="001667B1"/>
    <w:rsid w:val="00166A95"/>
    <w:rsid w:val="00167376"/>
    <w:rsid w:val="001675D6"/>
    <w:rsid w:val="0017147F"/>
    <w:rsid w:val="00171840"/>
    <w:rsid w:val="001718AD"/>
    <w:rsid w:val="00172A27"/>
    <w:rsid w:val="00172D66"/>
    <w:rsid w:val="00173690"/>
    <w:rsid w:val="00174703"/>
    <w:rsid w:val="00174A0B"/>
    <w:rsid w:val="00174A5A"/>
    <w:rsid w:val="001753F3"/>
    <w:rsid w:val="00175558"/>
    <w:rsid w:val="001755C0"/>
    <w:rsid w:val="0017584C"/>
    <w:rsid w:val="00176EF8"/>
    <w:rsid w:val="001771DB"/>
    <w:rsid w:val="001774B2"/>
    <w:rsid w:val="001801E7"/>
    <w:rsid w:val="001817B5"/>
    <w:rsid w:val="00182158"/>
    <w:rsid w:val="00182DBE"/>
    <w:rsid w:val="001837D3"/>
    <w:rsid w:val="001839FC"/>
    <w:rsid w:val="00184214"/>
    <w:rsid w:val="00184F49"/>
    <w:rsid w:val="00185164"/>
    <w:rsid w:val="001866D6"/>
    <w:rsid w:val="00187BEF"/>
    <w:rsid w:val="001927B1"/>
    <w:rsid w:val="00192C3E"/>
    <w:rsid w:val="00192CBE"/>
    <w:rsid w:val="00192DC0"/>
    <w:rsid w:val="00193B65"/>
    <w:rsid w:val="00193D60"/>
    <w:rsid w:val="00194B69"/>
    <w:rsid w:val="00194BFC"/>
    <w:rsid w:val="00195A78"/>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623"/>
    <w:rsid w:val="001C3C94"/>
    <w:rsid w:val="001C4570"/>
    <w:rsid w:val="001C4742"/>
    <w:rsid w:val="001C4B70"/>
    <w:rsid w:val="001C598E"/>
    <w:rsid w:val="001C5B8B"/>
    <w:rsid w:val="001D05B1"/>
    <w:rsid w:val="001D0B3B"/>
    <w:rsid w:val="001D1826"/>
    <w:rsid w:val="001D214A"/>
    <w:rsid w:val="001D2B65"/>
    <w:rsid w:val="001D3FCE"/>
    <w:rsid w:val="001D4C52"/>
    <w:rsid w:val="001D623C"/>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365C"/>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3C32"/>
    <w:rsid w:val="00244643"/>
    <w:rsid w:val="0024514E"/>
    <w:rsid w:val="0024571B"/>
    <w:rsid w:val="00247045"/>
    <w:rsid w:val="002474E8"/>
    <w:rsid w:val="002476CC"/>
    <w:rsid w:val="002479F9"/>
    <w:rsid w:val="00247FDF"/>
    <w:rsid w:val="0025138E"/>
    <w:rsid w:val="00251F3D"/>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6C8E"/>
    <w:rsid w:val="002779A6"/>
    <w:rsid w:val="00280028"/>
    <w:rsid w:val="002808B2"/>
    <w:rsid w:val="002824A9"/>
    <w:rsid w:val="00282646"/>
    <w:rsid w:val="00285ED0"/>
    <w:rsid w:val="00286570"/>
    <w:rsid w:val="0028671D"/>
    <w:rsid w:val="00286FFE"/>
    <w:rsid w:val="00287945"/>
    <w:rsid w:val="00287F20"/>
    <w:rsid w:val="00287F8D"/>
    <w:rsid w:val="00290BB6"/>
    <w:rsid w:val="0029115C"/>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2A2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0D"/>
    <w:rsid w:val="002C2A34"/>
    <w:rsid w:val="002C3ED3"/>
    <w:rsid w:val="002C77D2"/>
    <w:rsid w:val="002D00D8"/>
    <w:rsid w:val="002D27B8"/>
    <w:rsid w:val="002D291D"/>
    <w:rsid w:val="002D2E70"/>
    <w:rsid w:val="002D3E2A"/>
    <w:rsid w:val="002D4F73"/>
    <w:rsid w:val="002D5C8D"/>
    <w:rsid w:val="002D6180"/>
    <w:rsid w:val="002D672E"/>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5DC8"/>
    <w:rsid w:val="002F631D"/>
    <w:rsid w:val="002F6403"/>
    <w:rsid w:val="003005AF"/>
    <w:rsid w:val="00300C29"/>
    <w:rsid w:val="00302BE6"/>
    <w:rsid w:val="00303680"/>
    <w:rsid w:val="00304B6F"/>
    <w:rsid w:val="00304CF3"/>
    <w:rsid w:val="00304E68"/>
    <w:rsid w:val="003056D2"/>
    <w:rsid w:val="00306D60"/>
    <w:rsid w:val="0030767C"/>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6E"/>
    <w:rsid w:val="00351FE3"/>
    <w:rsid w:val="0035227A"/>
    <w:rsid w:val="00352B28"/>
    <w:rsid w:val="003536C6"/>
    <w:rsid w:val="00354A9E"/>
    <w:rsid w:val="00355810"/>
    <w:rsid w:val="00357054"/>
    <w:rsid w:val="00357B4C"/>
    <w:rsid w:val="00360A6F"/>
    <w:rsid w:val="003611F4"/>
    <w:rsid w:val="00362052"/>
    <w:rsid w:val="00362F67"/>
    <w:rsid w:val="003639BF"/>
    <w:rsid w:val="003647E3"/>
    <w:rsid w:val="0036525D"/>
    <w:rsid w:val="00365FD1"/>
    <w:rsid w:val="00367279"/>
    <w:rsid w:val="0037058D"/>
    <w:rsid w:val="003706D5"/>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6E95"/>
    <w:rsid w:val="003879C4"/>
    <w:rsid w:val="00391C55"/>
    <w:rsid w:val="00392030"/>
    <w:rsid w:val="00392D17"/>
    <w:rsid w:val="003937A0"/>
    <w:rsid w:val="003957AA"/>
    <w:rsid w:val="00395834"/>
    <w:rsid w:val="00395EF2"/>
    <w:rsid w:val="0039799E"/>
    <w:rsid w:val="003A01EB"/>
    <w:rsid w:val="003A1C82"/>
    <w:rsid w:val="003A227E"/>
    <w:rsid w:val="003A24D4"/>
    <w:rsid w:val="003A2503"/>
    <w:rsid w:val="003A4764"/>
    <w:rsid w:val="003A4916"/>
    <w:rsid w:val="003A4BCD"/>
    <w:rsid w:val="003A5258"/>
    <w:rsid w:val="003A7F47"/>
    <w:rsid w:val="003B0478"/>
    <w:rsid w:val="003B0CC1"/>
    <w:rsid w:val="003B163E"/>
    <w:rsid w:val="003B412E"/>
    <w:rsid w:val="003B45F4"/>
    <w:rsid w:val="003B4ACD"/>
    <w:rsid w:val="003C1534"/>
    <w:rsid w:val="003C1A2B"/>
    <w:rsid w:val="003C1EFF"/>
    <w:rsid w:val="003C3B8B"/>
    <w:rsid w:val="003C5759"/>
    <w:rsid w:val="003C645C"/>
    <w:rsid w:val="003C7123"/>
    <w:rsid w:val="003C7F90"/>
    <w:rsid w:val="003D222C"/>
    <w:rsid w:val="003D23CF"/>
    <w:rsid w:val="003D5547"/>
    <w:rsid w:val="003D5914"/>
    <w:rsid w:val="003D67CB"/>
    <w:rsid w:val="003D6B57"/>
    <w:rsid w:val="003D6DA4"/>
    <w:rsid w:val="003D788B"/>
    <w:rsid w:val="003D79D4"/>
    <w:rsid w:val="003D7A3A"/>
    <w:rsid w:val="003E0735"/>
    <w:rsid w:val="003E0B30"/>
    <w:rsid w:val="003E21C8"/>
    <w:rsid w:val="003E2DAF"/>
    <w:rsid w:val="003E32D5"/>
    <w:rsid w:val="003E39BC"/>
    <w:rsid w:val="003E4692"/>
    <w:rsid w:val="003E62A0"/>
    <w:rsid w:val="003E68DA"/>
    <w:rsid w:val="003E7974"/>
    <w:rsid w:val="003E7D9C"/>
    <w:rsid w:val="003E7DAB"/>
    <w:rsid w:val="003F0222"/>
    <w:rsid w:val="003F14A6"/>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3A42"/>
    <w:rsid w:val="00423F95"/>
    <w:rsid w:val="00424FB9"/>
    <w:rsid w:val="004310C9"/>
    <w:rsid w:val="0043110A"/>
    <w:rsid w:val="0043184D"/>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1F4C"/>
    <w:rsid w:val="00452027"/>
    <w:rsid w:val="004520AC"/>
    <w:rsid w:val="00452D6E"/>
    <w:rsid w:val="00453DB4"/>
    <w:rsid w:val="004547CE"/>
    <w:rsid w:val="0045485A"/>
    <w:rsid w:val="00454874"/>
    <w:rsid w:val="00454BE9"/>
    <w:rsid w:val="0045585D"/>
    <w:rsid w:val="00456E13"/>
    <w:rsid w:val="00460CEB"/>
    <w:rsid w:val="0046107E"/>
    <w:rsid w:val="00461DCB"/>
    <w:rsid w:val="0046213B"/>
    <w:rsid w:val="004621D3"/>
    <w:rsid w:val="00462D5A"/>
    <w:rsid w:val="00463BDC"/>
    <w:rsid w:val="00464316"/>
    <w:rsid w:val="00464585"/>
    <w:rsid w:val="0046536F"/>
    <w:rsid w:val="00465F63"/>
    <w:rsid w:val="004660A5"/>
    <w:rsid w:val="0046622A"/>
    <w:rsid w:val="00466468"/>
    <w:rsid w:val="00470300"/>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259"/>
    <w:rsid w:val="00487DB7"/>
    <w:rsid w:val="00487E8C"/>
    <w:rsid w:val="00491A7F"/>
    <w:rsid w:val="004920EF"/>
    <w:rsid w:val="004929BC"/>
    <w:rsid w:val="00492AED"/>
    <w:rsid w:val="00492F4F"/>
    <w:rsid w:val="0049340F"/>
    <w:rsid w:val="0049456B"/>
    <w:rsid w:val="00494F69"/>
    <w:rsid w:val="004953D8"/>
    <w:rsid w:val="004955CE"/>
    <w:rsid w:val="00495C1D"/>
    <w:rsid w:val="00496C4E"/>
    <w:rsid w:val="00497699"/>
    <w:rsid w:val="004A02E8"/>
    <w:rsid w:val="004A1E6B"/>
    <w:rsid w:val="004A1ED7"/>
    <w:rsid w:val="004A31DA"/>
    <w:rsid w:val="004A3B60"/>
    <w:rsid w:val="004A3C6D"/>
    <w:rsid w:val="004A4CEB"/>
    <w:rsid w:val="004A6D49"/>
    <w:rsid w:val="004A703F"/>
    <w:rsid w:val="004A73E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8D8"/>
    <w:rsid w:val="004E3E51"/>
    <w:rsid w:val="004E44E9"/>
    <w:rsid w:val="004E59BA"/>
    <w:rsid w:val="004E5B66"/>
    <w:rsid w:val="004E74A5"/>
    <w:rsid w:val="004E7ED5"/>
    <w:rsid w:val="004F13CC"/>
    <w:rsid w:val="004F219A"/>
    <w:rsid w:val="004F22F1"/>
    <w:rsid w:val="004F273A"/>
    <w:rsid w:val="004F4370"/>
    <w:rsid w:val="004F4E19"/>
    <w:rsid w:val="004F5BD2"/>
    <w:rsid w:val="004F5ED1"/>
    <w:rsid w:val="004F6C00"/>
    <w:rsid w:val="004F710D"/>
    <w:rsid w:val="004F7BB1"/>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1F9E"/>
    <w:rsid w:val="005824AC"/>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6E64"/>
    <w:rsid w:val="00596F91"/>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1B62"/>
    <w:rsid w:val="005D27A0"/>
    <w:rsid w:val="005D488A"/>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45EB"/>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6EB6"/>
    <w:rsid w:val="005F738E"/>
    <w:rsid w:val="005F7549"/>
    <w:rsid w:val="0060035C"/>
    <w:rsid w:val="00600E3D"/>
    <w:rsid w:val="00601049"/>
    <w:rsid w:val="006014B9"/>
    <w:rsid w:val="00601659"/>
    <w:rsid w:val="006026D7"/>
    <w:rsid w:val="0060595A"/>
    <w:rsid w:val="006073C8"/>
    <w:rsid w:val="00607A81"/>
    <w:rsid w:val="00607C05"/>
    <w:rsid w:val="00611CFD"/>
    <w:rsid w:val="00612198"/>
    <w:rsid w:val="00612D6B"/>
    <w:rsid w:val="00612E55"/>
    <w:rsid w:val="006134AD"/>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C0E"/>
    <w:rsid w:val="00631F36"/>
    <w:rsid w:val="00632E52"/>
    <w:rsid w:val="0063306F"/>
    <w:rsid w:val="006332AF"/>
    <w:rsid w:val="00633F9A"/>
    <w:rsid w:val="00634328"/>
    <w:rsid w:val="00635520"/>
    <w:rsid w:val="00635959"/>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6E1"/>
    <w:rsid w:val="00673AE6"/>
    <w:rsid w:val="00673F59"/>
    <w:rsid w:val="0067425B"/>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79"/>
    <w:rsid w:val="006A529C"/>
    <w:rsid w:val="006A535A"/>
    <w:rsid w:val="006A60B5"/>
    <w:rsid w:val="006A666F"/>
    <w:rsid w:val="006A7111"/>
    <w:rsid w:val="006A77E0"/>
    <w:rsid w:val="006B0FA0"/>
    <w:rsid w:val="006B1891"/>
    <w:rsid w:val="006B3D9B"/>
    <w:rsid w:val="006B417C"/>
    <w:rsid w:val="006B4B33"/>
    <w:rsid w:val="006B63B3"/>
    <w:rsid w:val="006B67EB"/>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58E"/>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171"/>
    <w:rsid w:val="006E39BE"/>
    <w:rsid w:val="006E4B6A"/>
    <w:rsid w:val="006E4EC4"/>
    <w:rsid w:val="006E5A19"/>
    <w:rsid w:val="006E6FDF"/>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145"/>
    <w:rsid w:val="00700E7E"/>
    <w:rsid w:val="00701B06"/>
    <w:rsid w:val="00702930"/>
    <w:rsid w:val="00705242"/>
    <w:rsid w:val="007060EA"/>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0E2"/>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37A4B"/>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252F"/>
    <w:rsid w:val="007638E3"/>
    <w:rsid w:val="00763C26"/>
    <w:rsid w:val="00763EC2"/>
    <w:rsid w:val="00764DF3"/>
    <w:rsid w:val="00765009"/>
    <w:rsid w:val="007655D2"/>
    <w:rsid w:val="007658B9"/>
    <w:rsid w:val="00767974"/>
    <w:rsid w:val="007733D9"/>
    <w:rsid w:val="00773E0C"/>
    <w:rsid w:val="00775489"/>
    <w:rsid w:val="00775BFE"/>
    <w:rsid w:val="007770C9"/>
    <w:rsid w:val="00777E3F"/>
    <w:rsid w:val="00780024"/>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4CEC"/>
    <w:rsid w:val="007956AB"/>
    <w:rsid w:val="00795E34"/>
    <w:rsid w:val="00796A51"/>
    <w:rsid w:val="00796F0C"/>
    <w:rsid w:val="007978FA"/>
    <w:rsid w:val="007A0624"/>
    <w:rsid w:val="007A0A31"/>
    <w:rsid w:val="007A0C7F"/>
    <w:rsid w:val="007A2A58"/>
    <w:rsid w:val="007A2BFA"/>
    <w:rsid w:val="007A30A0"/>
    <w:rsid w:val="007A3B65"/>
    <w:rsid w:val="007A3C96"/>
    <w:rsid w:val="007A3DBB"/>
    <w:rsid w:val="007A6892"/>
    <w:rsid w:val="007A7414"/>
    <w:rsid w:val="007A7461"/>
    <w:rsid w:val="007B0646"/>
    <w:rsid w:val="007B116B"/>
    <w:rsid w:val="007B1F9D"/>
    <w:rsid w:val="007B23A4"/>
    <w:rsid w:val="007B33FD"/>
    <w:rsid w:val="007B35B8"/>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5F8E"/>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C"/>
    <w:rsid w:val="007E460F"/>
    <w:rsid w:val="007E6FFC"/>
    <w:rsid w:val="007E7EF8"/>
    <w:rsid w:val="007F028E"/>
    <w:rsid w:val="007F0F3E"/>
    <w:rsid w:val="007F2DB3"/>
    <w:rsid w:val="007F320F"/>
    <w:rsid w:val="007F3A44"/>
    <w:rsid w:val="007F444C"/>
    <w:rsid w:val="007F5079"/>
    <w:rsid w:val="007F6049"/>
    <w:rsid w:val="007F7092"/>
    <w:rsid w:val="007F72D3"/>
    <w:rsid w:val="007F7E91"/>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629"/>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7B2"/>
    <w:rsid w:val="0086294F"/>
    <w:rsid w:val="00863204"/>
    <w:rsid w:val="008648DF"/>
    <w:rsid w:val="00865334"/>
    <w:rsid w:val="0086555F"/>
    <w:rsid w:val="00865CC2"/>
    <w:rsid w:val="00867098"/>
    <w:rsid w:val="00867B63"/>
    <w:rsid w:val="008704C6"/>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02"/>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447"/>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5F5"/>
    <w:rsid w:val="00902F1E"/>
    <w:rsid w:val="00903883"/>
    <w:rsid w:val="009043F9"/>
    <w:rsid w:val="00905276"/>
    <w:rsid w:val="00906813"/>
    <w:rsid w:val="00906B87"/>
    <w:rsid w:val="00907516"/>
    <w:rsid w:val="00907CDC"/>
    <w:rsid w:val="009109C6"/>
    <w:rsid w:val="00911046"/>
    <w:rsid w:val="00911DAF"/>
    <w:rsid w:val="009125C7"/>
    <w:rsid w:val="00912721"/>
    <w:rsid w:val="00912B94"/>
    <w:rsid w:val="00925268"/>
    <w:rsid w:val="00927A1E"/>
    <w:rsid w:val="00930581"/>
    <w:rsid w:val="00931B82"/>
    <w:rsid w:val="00932352"/>
    <w:rsid w:val="0093449C"/>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22D"/>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6CE"/>
    <w:rsid w:val="009B5A09"/>
    <w:rsid w:val="009B5FFE"/>
    <w:rsid w:val="009B6528"/>
    <w:rsid w:val="009B78E3"/>
    <w:rsid w:val="009B7B21"/>
    <w:rsid w:val="009C0171"/>
    <w:rsid w:val="009C225A"/>
    <w:rsid w:val="009C2516"/>
    <w:rsid w:val="009C26B5"/>
    <w:rsid w:val="009C33E6"/>
    <w:rsid w:val="009C4B9A"/>
    <w:rsid w:val="009C5B84"/>
    <w:rsid w:val="009C6915"/>
    <w:rsid w:val="009C694E"/>
    <w:rsid w:val="009C70BE"/>
    <w:rsid w:val="009C7DFE"/>
    <w:rsid w:val="009C7F60"/>
    <w:rsid w:val="009D04F3"/>
    <w:rsid w:val="009D1394"/>
    <w:rsid w:val="009D1E40"/>
    <w:rsid w:val="009D2460"/>
    <w:rsid w:val="009D543C"/>
    <w:rsid w:val="009D5CE9"/>
    <w:rsid w:val="009D615B"/>
    <w:rsid w:val="009D6380"/>
    <w:rsid w:val="009D6FCD"/>
    <w:rsid w:val="009D7CF8"/>
    <w:rsid w:val="009E0B2F"/>
    <w:rsid w:val="009E176C"/>
    <w:rsid w:val="009E21EA"/>
    <w:rsid w:val="009E2327"/>
    <w:rsid w:val="009E276C"/>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591"/>
    <w:rsid w:val="00A069A0"/>
    <w:rsid w:val="00A10A28"/>
    <w:rsid w:val="00A117A7"/>
    <w:rsid w:val="00A124D2"/>
    <w:rsid w:val="00A20B13"/>
    <w:rsid w:val="00A2130D"/>
    <w:rsid w:val="00A21612"/>
    <w:rsid w:val="00A21A11"/>
    <w:rsid w:val="00A21A21"/>
    <w:rsid w:val="00A21FCA"/>
    <w:rsid w:val="00A233CD"/>
    <w:rsid w:val="00A234CA"/>
    <w:rsid w:val="00A23D52"/>
    <w:rsid w:val="00A30DC0"/>
    <w:rsid w:val="00A319C8"/>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6D1"/>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561"/>
    <w:rsid w:val="00A91D53"/>
    <w:rsid w:val="00A93F12"/>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295A"/>
    <w:rsid w:val="00AC39B4"/>
    <w:rsid w:val="00AC489B"/>
    <w:rsid w:val="00AC527C"/>
    <w:rsid w:val="00AC56BA"/>
    <w:rsid w:val="00AC578E"/>
    <w:rsid w:val="00AC604E"/>
    <w:rsid w:val="00AC65F9"/>
    <w:rsid w:val="00AC6ACE"/>
    <w:rsid w:val="00AC7703"/>
    <w:rsid w:val="00AC7D83"/>
    <w:rsid w:val="00AD0961"/>
    <w:rsid w:val="00AD0988"/>
    <w:rsid w:val="00AD0B06"/>
    <w:rsid w:val="00AD0E40"/>
    <w:rsid w:val="00AD0F44"/>
    <w:rsid w:val="00AD1B79"/>
    <w:rsid w:val="00AD3A0B"/>
    <w:rsid w:val="00AD4A9E"/>
    <w:rsid w:val="00AD5A56"/>
    <w:rsid w:val="00AD621C"/>
    <w:rsid w:val="00AD6E04"/>
    <w:rsid w:val="00AE01D2"/>
    <w:rsid w:val="00AE1765"/>
    <w:rsid w:val="00AE5BB4"/>
    <w:rsid w:val="00AE6177"/>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5163"/>
    <w:rsid w:val="00B055C9"/>
    <w:rsid w:val="00B05F5B"/>
    <w:rsid w:val="00B10113"/>
    <w:rsid w:val="00B1166F"/>
    <w:rsid w:val="00B12057"/>
    <w:rsid w:val="00B123E0"/>
    <w:rsid w:val="00B12AC5"/>
    <w:rsid w:val="00B13175"/>
    <w:rsid w:val="00B166CC"/>
    <w:rsid w:val="00B16F04"/>
    <w:rsid w:val="00B17D05"/>
    <w:rsid w:val="00B20152"/>
    <w:rsid w:val="00B21813"/>
    <w:rsid w:val="00B23D55"/>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7D9"/>
    <w:rsid w:val="00B50ADE"/>
    <w:rsid w:val="00B512C6"/>
    <w:rsid w:val="00B515D7"/>
    <w:rsid w:val="00B53546"/>
    <w:rsid w:val="00B5389F"/>
    <w:rsid w:val="00B544F7"/>
    <w:rsid w:val="00B54D09"/>
    <w:rsid w:val="00B54D79"/>
    <w:rsid w:val="00B55423"/>
    <w:rsid w:val="00B55F5E"/>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D61"/>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241"/>
    <w:rsid w:val="00B93912"/>
    <w:rsid w:val="00B94771"/>
    <w:rsid w:val="00B95469"/>
    <w:rsid w:val="00B96F85"/>
    <w:rsid w:val="00B975A7"/>
    <w:rsid w:val="00BA3549"/>
    <w:rsid w:val="00BA3E16"/>
    <w:rsid w:val="00BA5D10"/>
    <w:rsid w:val="00BA755F"/>
    <w:rsid w:val="00BA79D0"/>
    <w:rsid w:val="00BA7F6D"/>
    <w:rsid w:val="00BB1307"/>
    <w:rsid w:val="00BB175A"/>
    <w:rsid w:val="00BB1DD4"/>
    <w:rsid w:val="00BB2393"/>
    <w:rsid w:val="00BB3A0B"/>
    <w:rsid w:val="00BB4F64"/>
    <w:rsid w:val="00BB502A"/>
    <w:rsid w:val="00BB5060"/>
    <w:rsid w:val="00BB5159"/>
    <w:rsid w:val="00BB5451"/>
    <w:rsid w:val="00BB5E2D"/>
    <w:rsid w:val="00BB614C"/>
    <w:rsid w:val="00BB67F4"/>
    <w:rsid w:val="00BC1E2D"/>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D7F53"/>
    <w:rsid w:val="00BE144D"/>
    <w:rsid w:val="00BE16C2"/>
    <w:rsid w:val="00BE227F"/>
    <w:rsid w:val="00BE26D0"/>
    <w:rsid w:val="00BE2BF3"/>
    <w:rsid w:val="00BE2E5B"/>
    <w:rsid w:val="00BE380F"/>
    <w:rsid w:val="00BE387C"/>
    <w:rsid w:val="00BE3B32"/>
    <w:rsid w:val="00BE4511"/>
    <w:rsid w:val="00BE5D61"/>
    <w:rsid w:val="00BE6AF7"/>
    <w:rsid w:val="00BF0B46"/>
    <w:rsid w:val="00BF0DE0"/>
    <w:rsid w:val="00BF204E"/>
    <w:rsid w:val="00BF33B0"/>
    <w:rsid w:val="00BF3629"/>
    <w:rsid w:val="00BF64A7"/>
    <w:rsid w:val="00C00480"/>
    <w:rsid w:val="00C0063E"/>
    <w:rsid w:val="00C01616"/>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2193"/>
    <w:rsid w:val="00C43741"/>
    <w:rsid w:val="00C4377E"/>
    <w:rsid w:val="00C439D9"/>
    <w:rsid w:val="00C448F8"/>
    <w:rsid w:val="00C45F06"/>
    <w:rsid w:val="00C461B1"/>
    <w:rsid w:val="00C46D28"/>
    <w:rsid w:val="00C5003D"/>
    <w:rsid w:val="00C505DA"/>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2AE4"/>
    <w:rsid w:val="00C75CC6"/>
    <w:rsid w:val="00C771C4"/>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23BA"/>
    <w:rsid w:val="00CA3344"/>
    <w:rsid w:val="00CA4E93"/>
    <w:rsid w:val="00CA4FF9"/>
    <w:rsid w:val="00CA67B5"/>
    <w:rsid w:val="00CA6A8D"/>
    <w:rsid w:val="00CA6AFB"/>
    <w:rsid w:val="00CB06BD"/>
    <w:rsid w:val="00CB1182"/>
    <w:rsid w:val="00CB247D"/>
    <w:rsid w:val="00CB24A5"/>
    <w:rsid w:val="00CB25DB"/>
    <w:rsid w:val="00CB3D15"/>
    <w:rsid w:val="00CB3E5F"/>
    <w:rsid w:val="00CB3EB8"/>
    <w:rsid w:val="00CB4E15"/>
    <w:rsid w:val="00CB564A"/>
    <w:rsid w:val="00CB6CF6"/>
    <w:rsid w:val="00CB6D1E"/>
    <w:rsid w:val="00CB7109"/>
    <w:rsid w:val="00CB798D"/>
    <w:rsid w:val="00CC0A71"/>
    <w:rsid w:val="00CC0AED"/>
    <w:rsid w:val="00CC1BB7"/>
    <w:rsid w:val="00CD0574"/>
    <w:rsid w:val="00CD0907"/>
    <w:rsid w:val="00CD0AE5"/>
    <w:rsid w:val="00CD10A2"/>
    <w:rsid w:val="00CD1C9B"/>
    <w:rsid w:val="00CD3160"/>
    <w:rsid w:val="00CD39E4"/>
    <w:rsid w:val="00CD5135"/>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1EEC"/>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4488"/>
    <w:rsid w:val="00D44868"/>
    <w:rsid w:val="00D450A2"/>
    <w:rsid w:val="00D4545A"/>
    <w:rsid w:val="00D45D61"/>
    <w:rsid w:val="00D46975"/>
    <w:rsid w:val="00D46C58"/>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437"/>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5743"/>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0C"/>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1F83"/>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0B4E"/>
    <w:rsid w:val="00E318B9"/>
    <w:rsid w:val="00E3296F"/>
    <w:rsid w:val="00E35E85"/>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60"/>
    <w:rsid w:val="00E539A5"/>
    <w:rsid w:val="00E53B49"/>
    <w:rsid w:val="00E54EF7"/>
    <w:rsid w:val="00E56547"/>
    <w:rsid w:val="00E56D44"/>
    <w:rsid w:val="00E572C9"/>
    <w:rsid w:val="00E601FE"/>
    <w:rsid w:val="00E60A9F"/>
    <w:rsid w:val="00E60E16"/>
    <w:rsid w:val="00E60E34"/>
    <w:rsid w:val="00E6127D"/>
    <w:rsid w:val="00E63C31"/>
    <w:rsid w:val="00E64012"/>
    <w:rsid w:val="00E6470D"/>
    <w:rsid w:val="00E65319"/>
    <w:rsid w:val="00E67AE1"/>
    <w:rsid w:val="00E67D24"/>
    <w:rsid w:val="00E70CE5"/>
    <w:rsid w:val="00E71BDE"/>
    <w:rsid w:val="00E72E8D"/>
    <w:rsid w:val="00E748DD"/>
    <w:rsid w:val="00E75F5D"/>
    <w:rsid w:val="00E769A1"/>
    <w:rsid w:val="00E76AEB"/>
    <w:rsid w:val="00E777B0"/>
    <w:rsid w:val="00E818FC"/>
    <w:rsid w:val="00E832B6"/>
    <w:rsid w:val="00E84B59"/>
    <w:rsid w:val="00E85C05"/>
    <w:rsid w:val="00E85C8B"/>
    <w:rsid w:val="00E86784"/>
    <w:rsid w:val="00E86BBB"/>
    <w:rsid w:val="00E87293"/>
    <w:rsid w:val="00E873A3"/>
    <w:rsid w:val="00E90252"/>
    <w:rsid w:val="00E92005"/>
    <w:rsid w:val="00E92EB4"/>
    <w:rsid w:val="00E934BE"/>
    <w:rsid w:val="00E934F3"/>
    <w:rsid w:val="00E9543D"/>
    <w:rsid w:val="00E9686F"/>
    <w:rsid w:val="00E971E7"/>
    <w:rsid w:val="00E973EB"/>
    <w:rsid w:val="00E9764D"/>
    <w:rsid w:val="00E97A66"/>
    <w:rsid w:val="00E97FE1"/>
    <w:rsid w:val="00EA0186"/>
    <w:rsid w:val="00EA02C5"/>
    <w:rsid w:val="00EA13FF"/>
    <w:rsid w:val="00EA44B9"/>
    <w:rsid w:val="00EA494A"/>
    <w:rsid w:val="00EA6670"/>
    <w:rsid w:val="00EA6DBB"/>
    <w:rsid w:val="00EA75DE"/>
    <w:rsid w:val="00EA7630"/>
    <w:rsid w:val="00EB3007"/>
    <w:rsid w:val="00EB3418"/>
    <w:rsid w:val="00EB41AF"/>
    <w:rsid w:val="00EB43F3"/>
    <w:rsid w:val="00EB5362"/>
    <w:rsid w:val="00EB5A21"/>
    <w:rsid w:val="00EB651C"/>
    <w:rsid w:val="00EB68CD"/>
    <w:rsid w:val="00EB6B3A"/>
    <w:rsid w:val="00EB72DD"/>
    <w:rsid w:val="00EC250E"/>
    <w:rsid w:val="00EC39B6"/>
    <w:rsid w:val="00EC3A90"/>
    <w:rsid w:val="00EC4C13"/>
    <w:rsid w:val="00EC69C5"/>
    <w:rsid w:val="00EC796D"/>
    <w:rsid w:val="00ED02BA"/>
    <w:rsid w:val="00ED0E58"/>
    <w:rsid w:val="00ED1379"/>
    <w:rsid w:val="00ED1E5B"/>
    <w:rsid w:val="00ED1FA8"/>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3E27"/>
    <w:rsid w:val="00EF41E3"/>
    <w:rsid w:val="00EF476C"/>
    <w:rsid w:val="00EF4CF5"/>
    <w:rsid w:val="00EF4E42"/>
    <w:rsid w:val="00EF55C2"/>
    <w:rsid w:val="00EF56AF"/>
    <w:rsid w:val="00EF59F7"/>
    <w:rsid w:val="00EF691C"/>
    <w:rsid w:val="00EF6FD0"/>
    <w:rsid w:val="00EF74A3"/>
    <w:rsid w:val="00EF7910"/>
    <w:rsid w:val="00F002C9"/>
    <w:rsid w:val="00F00317"/>
    <w:rsid w:val="00F006B6"/>
    <w:rsid w:val="00F009BB"/>
    <w:rsid w:val="00F02579"/>
    <w:rsid w:val="00F03269"/>
    <w:rsid w:val="00F042EB"/>
    <w:rsid w:val="00F04FFB"/>
    <w:rsid w:val="00F0631F"/>
    <w:rsid w:val="00F06E70"/>
    <w:rsid w:val="00F06ED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86C"/>
    <w:rsid w:val="00F26F29"/>
    <w:rsid w:val="00F3086B"/>
    <w:rsid w:val="00F314E4"/>
    <w:rsid w:val="00F315EB"/>
    <w:rsid w:val="00F318C7"/>
    <w:rsid w:val="00F31921"/>
    <w:rsid w:val="00F31C2D"/>
    <w:rsid w:val="00F32008"/>
    <w:rsid w:val="00F33F20"/>
    <w:rsid w:val="00F340B2"/>
    <w:rsid w:val="00F3418D"/>
    <w:rsid w:val="00F34383"/>
    <w:rsid w:val="00F35995"/>
    <w:rsid w:val="00F35D22"/>
    <w:rsid w:val="00F35F1F"/>
    <w:rsid w:val="00F3711F"/>
    <w:rsid w:val="00F40533"/>
    <w:rsid w:val="00F40C5C"/>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05A5"/>
    <w:rsid w:val="00F71502"/>
    <w:rsid w:val="00F7183F"/>
    <w:rsid w:val="00F71C81"/>
    <w:rsid w:val="00F723AC"/>
    <w:rsid w:val="00F72768"/>
    <w:rsid w:val="00F77612"/>
    <w:rsid w:val="00F8018D"/>
    <w:rsid w:val="00F80303"/>
    <w:rsid w:val="00F80D85"/>
    <w:rsid w:val="00F823F3"/>
    <w:rsid w:val="00F82875"/>
    <w:rsid w:val="00F8360D"/>
    <w:rsid w:val="00F84E35"/>
    <w:rsid w:val="00F84F77"/>
    <w:rsid w:val="00F87537"/>
    <w:rsid w:val="00F87927"/>
    <w:rsid w:val="00F911B3"/>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64"/>
    <w:rsid w:val="00FA5ED6"/>
    <w:rsid w:val="00FA664A"/>
    <w:rsid w:val="00FA7039"/>
    <w:rsid w:val="00FA7A34"/>
    <w:rsid w:val="00FB001B"/>
    <w:rsid w:val="00FB00A3"/>
    <w:rsid w:val="00FB0603"/>
    <w:rsid w:val="00FB153E"/>
    <w:rsid w:val="00FB6262"/>
    <w:rsid w:val="00FB6D9D"/>
    <w:rsid w:val="00FB7FED"/>
    <w:rsid w:val="00FC01FF"/>
    <w:rsid w:val="00FC164F"/>
    <w:rsid w:val="00FC206F"/>
    <w:rsid w:val="00FC2F8D"/>
    <w:rsid w:val="00FC5833"/>
    <w:rsid w:val="00FC5948"/>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6A40"/>
    <w:rsid w:val="00FE7C2E"/>
    <w:rsid w:val="00FE7F36"/>
    <w:rsid w:val="00FF3A17"/>
    <w:rsid w:val="00FF4B59"/>
    <w:rsid w:val="00FF4D7D"/>
    <w:rsid w:val="00FF785C"/>
    <w:rsid w:val="01791CD3"/>
    <w:rsid w:val="01C502E0"/>
    <w:rsid w:val="0205793E"/>
    <w:rsid w:val="023764B2"/>
    <w:rsid w:val="02533F80"/>
    <w:rsid w:val="03944676"/>
    <w:rsid w:val="03D114CB"/>
    <w:rsid w:val="03F21BCC"/>
    <w:rsid w:val="0433251E"/>
    <w:rsid w:val="047B0B3A"/>
    <w:rsid w:val="04EB0EE2"/>
    <w:rsid w:val="063C29C9"/>
    <w:rsid w:val="06832477"/>
    <w:rsid w:val="06856661"/>
    <w:rsid w:val="073B62FE"/>
    <w:rsid w:val="078966FD"/>
    <w:rsid w:val="07BD4336"/>
    <w:rsid w:val="08A01674"/>
    <w:rsid w:val="0920039A"/>
    <w:rsid w:val="095E54F2"/>
    <w:rsid w:val="09FF1157"/>
    <w:rsid w:val="0A015D01"/>
    <w:rsid w:val="0A4C255E"/>
    <w:rsid w:val="0A4F1CC6"/>
    <w:rsid w:val="0A7F56D8"/>
    <w:rsid w:val="0A854839"/>
    <w:rsid w:val="0ACA0AE6"/>
    <w:rsid w:val="0AD94570"/>
    <w:rsid w:val="0AEB48B5"/>
    <w:rsid w:val="0BAE1B1C"/>
    <w:rsid w:val="0C0E7A39"/>
    <w:rsid w:val="0D1F336B"/>
    <w:rsid w:val="0DD6300D"/>
    <w:rsid w:val="0DDB4FA9"/>
    <w:rsid w:val="0DE03378"/>
    <w:rsid w:val="0E2B2918"/>
    <w:rsid w:val="0E7D4BEE"/>
    <w:rsid w:val="0E9A33AE"/>
    <w:rsid w:val="0EE408D5"/>
    <w:rsid w:val="0EF71738"/>
    <w:rsid w:val="0F655FB1"/>
    <w:rsid w:val="0FCD31DE"/>
    <w:rsid w:val="100C2663"/>
    <w:rsid w:val="100D7D1E"/>
    <w:rsid w:val="107F782F"/>
    <w:rsid w:val="11094D4C"/>
    <w:rsid w:val="111C3487"/>
    <w:rsid w:val="117B3ACB"/>
    <w:rsid w:val="11803E11"/>
    <w:rsid w:val="11B147AE"/>
    <w:rsid w:val="11F052D6"/>
    <w:rsid w:val="122A59BD"/>
    <w:rsid w:val="12761244"/>
    <w:rsid w:val="12A76E20"/>
    <w:rsid w:val="12B20277"/>
    <w:rsid w:val="147C4B0B"/>
    <w:rsid w:val="14BE5F44"/>
    <w:rsid w:val="15194B44"/>
    <w:rsid w:val="1546345F"/>
    <w:rsid w:val="15891CCA"/>
    <w:rsid w:val="15C55D50"/>
    <w:rsid w:val="15CC6A3A"/>
    <w:rsid w:val="15E907B0"/>
    <w:rsid w:val="15FD3A42"/>
    <w:rsid w:val="163F73D8"/>
    <w:rsid w:val="16C9AC94"/>
    <w:rsid w:val="17373E4C"/>
    <w:rsid w:val="17EEF9BF"/>
    <w:rsid w:val="18CD0120"/>
    <w:rsid w:val="19010B5E"/>
    <w:rsid w:val="193B6702"/>
    <w:rsid w:val="199865BF"/>
    <w:rsid w:val="1A321375"/>
    <w:rsid w:val="1AE6371B"/>
    <w:rsid w:val="1AEE8575"/>
    <w:rsid w:val="1B125BAC"/>
    <w:rsid w:val="1B150798"/>
    <w:rsid w:val="1B287E1F"/>
    <w:rsid w:val="1BDF427D"/>
    <w:rsid w:val="1C11583C"/>
    <w:rsid w:val="1C212338"/>
    <w:rsid w:val="1C634634"/>
    <w:rsid w:val="1C803DCB"/>
    <w:rsid w:val="1CA064D4"/>
    <w:rsid w:val="1CB60B01"/>
    <w:rsid w:val="1D0F0676"/>
    <w:rsid w:val="1D68505D"/>
    <w:rsid w:val="1DDF7107"/>
    <w:rsid w:val="1DF613D9"/>
    <w:rsid w:val="1E0D352E"/>
    <w:rsid w:val="1E1835F3"/>
    <w:rsid w:val="1E8E66B7"/>
    <w:rsid w:val="1EB5526B"/>
    <w:rsid w:val="1EF354FD"/>
    <w:rsid w:val="1F2703FC"/>
    <w:rsid w:val="1FB902AF"/>
    <w:rsid w:val="1FDB18A8"/>
    <w:rsid w:val="1FDF7FCD"/>
    <w:rsid w:val="1FF35677"/>
    <w:rsid w:val="207A470F"/>
    <w:rsid w:val="210B463E"/>
    <w:rsid w:val="21104AD5"/>
    <w:rsid w:val="212E710B"/>
    <w:rsid w:val="217106AC"/>
    <w:rsid w:val="21943D46"/>
    <w:rsid w:val="21D043CE"/>
    <w:rsid w:val="21F5556B"/>
    <w:rsid w:val="2288155B"/>
    <w:rsid w:val="22F94293"/>
    <w:rsid w:val="246B6A3F"/>
    <w:rsid w:val="255B6AC9"/>
    <w:rsid w:val="25DC07E7"/>
    <w:rsid w:val="267D6303"/>
    <w:rsid w:val="267E36E0"/>
    <w:rsid w:val="277D4073"/>
    <w:rsid w:val="27824BF7"/>
    <w:rsid w:val="278D7DFF"/>
    <w:rsid w:val="27A75FE0"/>
    <w:rsid w:val="27F7B3D6"/>
    <w:rsid w:val="28685886"/>
    <w:rsid w:val="289C1037"/>
    <w:rsid w:val="28B05A59"/>
    <w:rsid w:val="28B97D6A"/>
    <w:rsid w:val="28F10DEC"/>
    <w:rsid w:val="29572F1C"/>
    <w:rsid w:val="29D12225"/>
    <w:rsid w:val="2A3D0E7D"/>
    <w:rsid w:val="2A675B61"/>
    <w:rsid w:val="2A9F4381"/>
    <w:rsid w:val="2AD35F6A"/>
    <w:rsid w:val="2B337D29"/>
    <w:rsid w:val="2B746879"/>
    <w:rsid w:val="2BC4E4FA"/>
    <w:rsid w:val="2BDFA08F"/>
    <w:rsid w:val="2BE17618"/>
    <w:rsid w:val="2C7C3FCF"/>
    <w:rsid w:val="2C8972E8"/>
    <w:rsid w:val="2D126703"/>
    <w:rsid w:val="2D653220"/>
    <w:rsid w:val="2D7E4089"/>
    <w:rsid w:val="2D7F3696"/>
    <w:rsid w:val="2D9178FC"/>
    <w:rsid w:val="2E0C4867"/>
    <w:rsid w:val="2E460B24"/>
    <w:rsid w:val="2EAEC9F1"/>
    <w:rsid w:val="2F1321AD"/>
    <w:rsid w:val="2F257996"/>
    <w:rsid w:val="2F5F1AD0"/>
    <w:rsid w:val="2F79B7FF"/>
    <w:rsid w:val="2F8A7425"/>
    <w:rsid w:val="2FB11BF0"/>
    <w:rsid w:val="30C85830"/>
    <w:rsid w:val="30F50996"/>
    <w:rsid w:val="30FC548F"/>
    <w:rsid w:val="31286E31"/>
    <w:rsid w:val="32C21E80"/>
    <w:rsid w:val="32CC4585"/>
    <w:rsid w:val="32D833CC"/>
    <w:rsid w:val="32FF0045"/>
    <w:rsid w:val="33222F79"/>
    <w:rsid w:val="33446C47"/>
    <w:rsid w:val="337D6FDA"/>
    <w:rsid w:val="337E48D0"/>
    <w:rsid w:val="338D7B37"/>
    <w:rsid w:val="33D632D4"/>
    <w:rsid w:val="33ED121E"/>
    <w:rsid w:val="341337CB"/>
    <w:rsid w:val="347E7F55"/>
    <w:rsid w:val="34983880"/>
    <w:rsid w:val="34D33B5B"/>
    <w:rsid w:val="35DEB453"/>
    <w:rsid w:val="35F452AD"/>
    <w:rsid w:val="35FA18FA"/>
    <w:rsid w:val="35FDA9A0"/>
    <w:rsid w:val="36057C4F"/>
    <w:rsid w:val="369D7621"/>
    <w:rsid w:val="36D13079"/>
    <w:rsid w:val="36EFD636"/>
    <w:rsid w:val="36F42249"/>
    <w:rsid w:val="370B5D0C"/>
    <w:rsid w:val="372DF4E4"/>
    <w:rsid w:val="373B347C"/>
    <w:rsid w:val="37540AA2"/>
    <w:rsid w:val="37CEC8E3"/>
    <w:rsid w:val="37EFC505"/>
    <w:rsid w:val="38073074"/>
    <w:rsid w:val="383A64FE"/>
    <w:rsid w:val="38E87BC9"/>
    <w:rsid w:val="392320EF"/>
    <w:rsid w:val="392F64B6"/>
    <w:rsid w:val="3953468E"/>
    <w:rsid w:val="3997BC09"/>
    <w:rsid w:val="39FBDF40"/>
    <w:rsid w:val="3A296FBE"/>
    <w:rsid w:val="3A49346A"/>
    <w:rsid w:val="3AB63421"/>
    <w:rsid w:val="3AF7C7FE"/>
    <w:rsid w:val="3B3C48E8"/>
    <w:rsid w:val="3B6F22B3"/>
    <w:rsid w:val="3B7C21DC"/>
    <w:rsid w:val="3B9E1077"/>
    <w:rsid w:val="3BAF13BF"/>
    <w:rsid w:val="3BB64A76"/>
    <w:rsid w:val="3BE65550"/>
    <w:rsid w:val="3BF533B1"/>
    <w:rsid w:val="3BF64AAD"/>
    <w:rsid w:val="3BFF7820"/>
    <w:rsid w:val="3BFF8763"/>
    <w:rsid w:val="3BFFEA80"/>
    <w:rsid w:val="3C02752B"/>
    <w:rsid w:val="3C271159"/>
    <w:rsid w:val="3C9D1F87"/>
    <w:rsid w:val="3CEA23BD"/>
    <w:rsid w:val="3D366A4A"/>
    <w:rsid w:val="3D4476E5"/>
    <w:rsid w:val="3D49013B"/>
    <w:rsid w:val="3D6E79D2"/>
    <w:rsid w:val="3D7D2179"/>
    <w:rsid w:val="3DB70AD3"/>
    <w:rsid w:val="3DDD6D33"/>
    <w:rsid w:val="3DFD8960"/>
    <w:rsid w:val="3DFF6A48"/>
    <w:rsid w:val="3E0D90E0"/>
    <w:rsid w:val="3E4FDD81"/>
    <w:rsid w:val="3F2FF45A"/>
    <w:rsid w:val="3F4B2142"/>
    <w:rsid w:val="3F4EFA06"/>
    <w:rsid w:val="3F67181A"/>
    <w:rsid w:val="3F6FB961"/>
    <w:rsid w:val="3F7AE3C0"/>
    <w:rsid w:val="3F841762"/>
    <w:rsid w:val="3FAE82D2"/>
    <w:rsid w:val="3FB9CFD9"/>
    <w:rsid w:val="3FC43BC9"/>
    <w:rsid w:val="3FDD800F"/>
    <w:rsid w:val="3FDF0E39"/>
    <w:rsid w:val="3FDFD8B7"/>
    <w:rsid w:val="3FE0CCD5"/>
    <w:rsid w:val="3FE2218B"/>
    <w:rsid w:val="3FF74EEE"/>
    <w:rsid w:val="3FFA062E"/>
    <w:rsid w:val="3FFDF18F"/>
    <w:rsid w:val="3FFF356A"/>
    <w:rsid w:val="3FFF4E45"/>
    <w:rsid w:val="3FFF89BB"/>
    <w:rsid w:val="40360E64"/>
    <w:rsid w:val="408C4C8F"/>
    <w:rsid w:val="413B40E9"/>
    <w:rsid w:val="414E51F3"/>
    <w:rsid w:val="41B10AC2"/>
    <w:rsid w:val="41D95413"/>
    <w:rsid w:val="4259386D"/>
    <w:rsid w:val="431866C6"/>
    <w:rsid w:val="434D3B25"/>
    <w:rsid w:val="438F73C5"/>
    <w:rsid w:val="43C5EFCC"/>
    <w:rsid w:val="43D44955"/>
    <w:rsid w:val="44585D35"/>
    <w:rsid w:val="445B21D4"/>
    <w:rsid w:val="44FA1861"/>
    <w:rsid w:val="45453B9B"/>
    <w:rsid w:val="466E52B3"/>
    <w:rsid w:val="46CA7E9E"/>
    <w:rsid w:val="46F65E21"/>
    <w:rsid w:val="4744128D"/>
    <w:rsid w:val="47504770"/>
    <w:rsid w:val="47921C09"/>
    <w:rsid w:val="47D479C8"/>
    <w:rsid w:val="47EE1D62"/>
    <w:rsid w:val="47F1197B"/>
    <w:rsid w:val="48E56A2C"/>
    <w:rsid w:val="495E4CB3"/>
    <w:rsid w:val="497B4A43"/>
    <w:rsid w:val="498E1E37"/>
    <w:rsid w:val="49EFCEA3"/>
    <w:rsid w:val="4A064368"/>
    <w:rsid w:val="4A2F5D4E"/>
    <w:rsid w:val="4AA05FC0"/>
    <w:rsid w:val="4AA20354"/>
    <w:rsid w:val="4ADB22A1"/>
    <w:rsid w:val="4AEC34B5"/>
    <w:rsid w:val="4B5005B9"/>
    <w:rsid w:val="4BFFDA48"/>
    <w:rsid w:val="4C1414C8"/>
    <w:rsid w:val="4C2067BE"/>
    <w:rsid w:val="4CB5461B"/>
    <w:rsid w:val="4CBC5762"/>
    <w:rsid w:val="4D100E7F"/>
    <w:rsid w:val="4D1F38CE"/>
    <w:rsid w:val="4DB766CD"/>
    <w:rsid w:val="4DB8CA2B"/>
    <w:rsid w:val="4E4D5452"/>
    <w:rsid w:val="4E8778D4"/>
    <w:rsid w:val="4EAF389A"/>
    <w:rsid w:val="4F5812B6"/>
    <w:rsid w:val="4F5A5B74"/>
    <w:rsid w:val="4F671238"/>
    <w:rsid w:val="4FB31116"/>
    <w:rsid w:val="4FBD4F30"/>
    <w:rsid w:val="4FE53972"/>
    <w:rsid w:val="503C68AA"/>
    <w:rsid w:val="50CE02B2"/>
    <w:rsid w:val="50E04BBA"/>
    <w:rsid w:val="50F95C4E"/>
    <w:rsid w:val="51086BB6"/>
    <w:rsid w:val="51326EB6"/>
    <w:rsid w:val="514D6B2E"/>
    <w:rsid w:val="516E5206"/>
    <w:rsid w:val="51EB103B"/>
    <w:rsid w:val="527926DA"/>
    <w:rsid w:val="52FB52AE"/>
    <w:rsid w:val="5358751C"/>
    <w:rsid w:val="53740B45"/>
    <w:rsid w:val="53C83586"/>
    <w:rsid w:val="548E6E95"/>
    <w:rsid w:val="54915733"/>
    <w:rsid w:val="54DE1417"/>
    <w:rsid w:val="5549276B"/>
    <w:rsid w:val="554F368F"/>
    <w:rsid w:val="556B45C1"/>
    <w:rsid w:val="55FF452A"/>
    <w:rsid w:val="56104FC2"/>
    <w:rsid w:val="56262319"/>
    <w:rsid w:val="56513061"/>
    <w:rsid w:val="569B2BBD"/>
    <w:rsid w:val="569C760E"/>
    <w:rsid w:val="569F7CC5"/>
    <w:rsid w:val="56FB12FA"/>
    <w:rsid w:val="57250B4B"/>
    <w:rsid w:val="57571CC6"/>
    <w:rsid w:val="576E2CC0"/>
    <w:rsid w:val="578A4B45"/>
    <w:rsid w:val="57FE5A6A"/>
    <w:rsid w:val="57FFABDC"/>
    <w:rsid w:val="58234BB9"/>
    <w:rsid w:val="584B08BD"/>
    <w:rsid w:val="58A67FE8"/>
    <w:rsid w:val="591FD123"/>
    <w:rsid w:val="596C0CB3"/>
    <w:rsid w:val="5A222771"/>
    <w:rsid w:val="5AD46575"/>
    <w:rsid w:val="5B146098"/>
    <w:rsid w:val="5B4A0DDA"/>
    <w:rsid w:val="5BC3325E"/>
    <w:rsid w:val="5BF1578E"/>
    <w:rsid w:val="5C193A65"/>
    <w:rsid w:val="5CF2576A"/>
    <w:rsid w:val="5CFFBE88"/>
    <w:rsid w:val="5DB911BC"/>
    <w:rsid w:val="5DE6657A"/>
    <w:rsid w:val="5DF5819D"/>
    <w:rsid w:val="5E7C376C"/>
    <w:rsid w:val="5E8D6361"/>
    <w:rsid w:val="5EA837C9"/>
    <w:rsid w:val="5EC02968"/>
    <w:rsid w:val="5EF71B2E"/>
    <w:rsid w:val="5F0E45BB"/>
    <w:rsid w:val="5F3DC737"/>
    <w:rsid w:val="5F5F5F0E"/>
    <w:rsid w:val="5F606F7D"/>
    <w:rsid w:val="5F6F27E6"/>
    <w:rsid w:val="5F7A91EA"/>
    <w:rsid w:val="5F8624F1"/>
    <w:rsid w:val="5F8D37B7"/>
    <w:rsid w:val="5F9B53A1"/>
    <w:rsid w:val="5FC50B3D"/>
    <w:rsid w:val="5FDB1D92"/>
    <w:rsid w:val="5FEA2932"/>
    <w:rsid w:val="5FEDC342"/>
    <w:rsid w:val="5FF23595"/>
    <w:rsid w:val="5FF35171"/>
    <w:rsid w:val="5FF60412"/>
    <w:rsid w:val="5FF65026"/>
    <w:rsid w:val="5FFFAC80"/>
    <w:rsid w:val="60124C12"/>
    <w:rsid w:val="60393A72"/>
    <w:rsid w:val="603A516E"/>
    <w:rsid w:val="60754B42"/>
    <w:rsid w:val="60B30F76"/>
    <w:rsid w:val="60C237D0"/>
    <w:rsid w:val="60C931D4"/>
    <w:rsid w:val="61572DAE"/>
    <w:rsid w:val="61AC78CC"/>
    <w:rsid w:val="620307DD"/>
    <w:rsid w:val="62176D39"/>
    <w:rsid w:val="62343ED9"/>
    <w:rsid w:val="62467BC8"/>
    <w:rsid w:val="63311331"/>
    <w:rsid w:val="63532FF1"/>
    <w:rsid w:val="63903516"/>
    <w:rsid w:val="63EC7FE2"/>
    <w:rsid w:val="63FC06B4"/>
    <w:rsid w:val="6444055B"/>
    <w:rsid w:val="644E7E74"/>
    <w:rsid w:val="647057FB"/>
    <w:rsid w:val="6478757A"/>
    <w:rsid w:val="647975EC"/>
    <w:rsid w:val="64A954DC"/>
    <w:rsid w:val="6502744D"/>
    <w:rsid w:val="65064292"/>
    <w:rsid w:val="650937C9"/>
    <w:rsid w:val="653E7284"/>
    <w:rsid w:val="65464BB6"/>
    <w:rsid w:val="65D97BA7"/>
    <w:rsid w:val="65DFA4BB"/>
    <w:rsid w:val="66010196"/>
    <w:rsid w:val="663A1AF8"/>
    <w:rsid w:val="66D03EF3"/>
    <w:rsid w:val="66FFC039"/>
    <w:rsid w:val="67480B1F"/>
    <w:rsid w:val="67596562"/>
    <w:rsid w:val="67AA3B19"/>
    <w:rsid w:val="67AB656F"/>
    <w:rsid w:val="67C15479"/>
    <w:rsid w:val="67CE48E7"/>
    <w:rsid w:val="67DA7FEE"/>
    <w:rsid w:val="67F32B26"/>
    <w:rsid w:val="69165C6D"/>
    <w:rsid w:val="693B6DFD"/>
    <w:rsid w:val="69551473"/>
    <w:rsid w:val="69627389"/>
    <w:rsid w:val="696D0284"/>
    <w:rsid w:val="6978C146"/>
    <w:rsid w:val="6AFFD4D3"/>
    <w:rsid w:val="6B0A723D"/>
    <w:rsid w:val="6B6E2CBD"/>
    <w:rsid w:val="6B777F18"/>
    <w:rsid w:val="6B79A76F"/>
    <w:rsid w:val="6BBE0DBA"/>
    <w:rsid w:val="6BBF2186"/>
    <w:rsid w:val="6BD12F95"/>
    <w:rsid w:val="6BDD5CD8"/>
    <w:rsid w:val="6BF1475D"/>
    <w:rsid w:val="6C075DAC"/>
    <w:rsid w:val="6C325657"/>
    <w:rsid w:val="6C6B2312"/>
    <w:rsid w:val="6CB46AE8"/>
    <w:rsid w:val="6CB60ACE"/>
    <w:rsid w:val="6CF94851"/>
    <w:rsid w:val="6D3C221B"/>
    <w:rsid w:val="6D7ECAAD"/>
    <w:rsid w:val="6DE7CE4B"/>
    <w:rsid w:val="6DF565CB"/>
    <w:rsid w:val="6DFED50D"/>
    <w:rsid w:val="6E453429"/>
    <w:rsid w:val="6E5A7A01"/>
    <w:rsid w:val="6EFFB660"/>
    <w:rsid w:val="6F294684"/>
    <w:rsid w:val="6F6F8BEC"/>
    <w:rsid w:val="6FA71920"/>
    <w:rsid w:val="6FA9BF99"/>
    <w:rsid w:val="6FF7860B"/>
    <w:rsid w:val="6FF7992D"/>
    <w:rsid w:val="6FFF247A"/>
    <w:rsid w:val="70611F6D"/>
    <w:rsid w:val="714675D6"/>
    <w:rsid w:val="715F666C"/>
    <w:rsid w:val="7167914E"/>
    <w:rsid w:val="7177133C"/>
    <w:rsid w:val="71CB4D56"/>
    <w:rsid w:val="71CD44E8"/>
    <w:rsid w:val="71EA0DE7"/>
    <w:rsid w:val="72166513"/>
    <w:rsid w:val="72606A84"/>
    <w:rsid w:val="72BB6DAD"/>
    <w:rsid w:val="72C305F0"/>
    <w:rsid w:val="7314021C"/>
    <w:rsid w:val="73221EA9"/>
    <w:rsid w:val="733A4EA6"/>
    <w:rsid w:val="737C9016"/>
    <w:rsid w:val="73A579AE"/>
    <w:rsid w:val="73B42CFD"/>
    <w:rsid w:val="73BDD73B"/>
    <w:rsid w:val="73C34AAB"/>
    <w:rsid w:val="73CFFE02"/>
    <w:rsid w:val="73FF6DDB"/>
    <w:rsid w:val="740B41CC"/>
    <w:rsid w:val="74B310ED"/>
    <w:rsid w:val="74C86784"/>
    <w:rsid w:val="74C96B93"/>
    <w:rsid w:val="74D1261A"/>
    <w:rsid w:val="754C32EF"/>
    <w:rsid w:val="75616B80"/>
    <w:rsid w:val="758B6266"/>
    <w:rsid w:val="75BF1117"/>
    <w:rsid w:val="75BFF44D"/>
    <w:rsid w:val="75F93477"/>
    <w:rsid w:val="761A6DB5"/>
    <w:rsid w:val="7670288E"/>
    <w:rsid w:val="767F5CD0"/>
    <w:rsid w:val="76DA085C"/>
    <w:rsid w:val="76FC257D"/>
    <w:rsid w:val="770C1377"/>
    <w:rsid w:val="775EF835"/>
    <w:rsid w:val="776F4ECF"/>
    <w:rsid w:val="7779BE38"/>
    <w:rsid w:val="777F12DD"/>
    <w:rsid w:val="77D38755"/>
    <w:rsid w:val="77DC18A8"/>
    <w:rsid w:val="77EB6883"/>
    <w:rsid w:val="77F75118"/>
    <w:rsid w:val="77FA470C"/>
    <w:rsid w:val="77FEC560"/>
    <w:rsid w:val="781F6771"/>
    <w:rsid w:val="78255199"/>
    <w:rsid w:val="786700B7"/>
    <w:rsid w:val="786B0AB7"/>
    <w:rsid w:val="78733EB0"/>
    <w:rsid w:val="788C3F57"/>
    <w:rsid w:val="78921B99"/>
    <w:rsid w:val="78BFEC86"/>
    <w:rsid w:val="791B3704"/>
    <w:rsid w:val="791E388B"/>
    <w:rsid w:val="79594C61"/>
    <w:rsid w:val="795D00B8"/>
    <w:rsid w:val="796B643A"/>
    <w:rsid w:val="797F92FA"/>
    <w:rsid w:val="798D76BC"/>
    <w:rsid w:val="79E00940"/>
    <w:rsid w:val="79E87DBE"/>
    <w:rsid w:val="79F9DA57"/>
    <w:rsid w:val="7A1C6403"/>
    <w:rsid w:val="7A7988CF"/>
    <w:rsid w:val="7A8A2F5E"/>
    <w:rsid w:val="7AAE7A61"/>
    <w:rsid w:val="7AB811A1"/>
    <w:rsid w:val="7AC95D67"/>
    <w:rsid w:val="7AE72BEC"/>
    <w:rsid w:val="7AF34313"/>
    <w:rsid w:val="7AF5498E"/>
    <w:rsid w:val="7AF76CC1"/>
    <w:rsid w:val="7B424F78"/>
    <w:rsid w:val="7B5BAF94"/>
    <w:rsid w:val="7B762783"/>
    <w:rsid w:val="7BCE2005"/>
    <w:rsid w:val="7BD587CA"/>
    <w:rsid w:val="7BDF6CE4"/>
    <w:rsid w:val="7BEA2C24"/>
    <w:rsid w:val="7BF5B145"/>
    <w:rsid w:val="7BF97A4A"/>
    <w:rsid w:val="7BFB630F"/>
    <w:rsid w:val="7BFF0BDB"/>
    <w:rsid w:val="7BFF47BD"/>
    <w:rsid w:val="7C1E72C4"/>
    <w:rsid w:val="7C5B42CF"/>
    <w:rsid w:val="7C5C2F75"/>
    <w:rsid w:val="7CF4E9C8"/>
    <w:rsid w:val="7D5176F5"/>
    <w:rsid w:val="7D824051"/>
    <w:rsid w:val="7D9667B8"/>
    <w:rsid w:val="7D9D3854"/>
    <w:rsid w:val="7DB3162D"/>
    <w:rsid w:val="7DBE7D6B"/>
    <w:rsid w:val="7DBF71B5"/>
    <w:rsid w:val="7DBF7645"/>
    <w:rsid w:val="7DE46888"/>
    <w:rsid w:val="7DFA1D19"/>
    <w:rsid w:val="7DFB2714"/>
    <w:rsid w:val="7E2B5206"/>
    <w:rsid w:val="7E341237"/>
    <w:rsid w:val="7E9B601A"/>
    <w:rsid w:val="7E9E710D"/>
    <w:rsid w:val="7EB5E7B0"/>
    <w:rsid w:val="7EBFF3D7"/>
    <w:rsid w:val="7EE24A62"/>
    <w:rsid w:val="7EED353C"/>
    <w:rsid w:val="7EFF31A0"/>
    <w:rsid w:val="7F3BA972"/>
    <w:rsid w:val="7F4DD6AD"/>
    <w:rsid w:val="7F565496"/>
    <w:rsid w:val="7F6D63DB"/>
    <w:rsid w:val="7F71A189"/>
    <w:rsid w:val="7F759C5B"/>
    <w:rsid w:val="7F7B572D"/>
    <w:rsid w:val="7F7BDD0F"/>
    <w:rsid w:val="7F7E0EE6"/>
    <w:rsid w:val="7F9D4FA1"/>
    <w:rsid w:val="7FAB3839"/>
    <w:rsid w:val="7FAB3D96"/>
    <w:rsid w:val="7FAFFCE2"/>
    <w:rsid w:val="7FB64187"/>
    <w:rsid w:val="7FBA455F"/>
    <w:rsid w:val="7FBEBD3B"/>
    <w:rsid w:val="7FBF1EB0"/>
    <w:rsid w:val="7FCF42A1"/>
    <w:rsid w:val="7FCF5FC9"/>
    <w:rsid w:val="7FD58920"/>
    <w:rsid w:val="7FDF3874"/>
    <w:rsid w:val="7FE7E89E"/>
    <w:rsid w:val="7FEEB066"/>
    <w:rsid w:val="7FEF5B90"/>
    <w:rsid w:val="7FF7EBBA"/>
    <w:rsid w:val="7FF9BFD1"/>
    <w:rsid w:val="7FFA3120"/>
    <w:rsid w:val="7FFB1E89"/>
    <w:rsid w:val="7FFDD19D"/>
    <w:rsid w:val="7FFF6D36"/>
    <w:rsid w:val="7FFF9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DFAFB"/>
  <w15:docId w15:val="{F7B1AA16-DBD7-4173-950D-2BEA0C50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qFormat="1"/>
    <w:lsdException w:name="footnote text" w:uiPriority="99" w:qFormat="1"/>
    <w:lsdException w:name="annotation text" w:qFormat="1"/>
    <w:lsdException w:name="header" w:qFormat="1"/>
    <w:lsdException w:name="footer" w:qFormat="1"/>
    <w:lsdException w:name="caption" w:uiPriority="35" w:unhideWhenUsed="1" w:qFormat="1"/>
    <w:lsdException w:name="envelope return" w:qFormat="1"/>
    <w:lsdException w:name="footnote reference" w:uiPriority="99" w:qFormat="1"/>
    <w:lsdException w:name="annotation reference" w:qFormat="1"/>
    <w:lsdException w:name="page number"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仿宋_GB2312" w:hAnsi="宋体"/>
      <w:snapToGrid w:val="0"/>
      <w:kern w:val="32"/>
      <w:sz w:val="32"/>
      <w:szCs w:val="32"/>
    </w:rPr>
  </w:style>
  <w:style w:type="paragraph" w:styleId="1">
    <w:name w:val="heading 1"/>
    <w:basedOn w:val="a"/>
    <w:next w:val="a"/>
    <w:qFormat/>
    <w:pPr>
      <w:jc w:val="left"/>
      <w:outlineLvl w:val="0"/>
    </w:pPr>
    <w:rPr>
      <w:rFonts w:ascii="黑体" w:eastAsia="黑体"/>
      <w:bCs/>
    </w:rPr>
  </w:style>
  <w:style w:type="paragraph" w:styleId="2">
    <w:name w:val="heading 2"/>
    <w:basedOn w:val="a"/>
    <w:next w:val="a"/>
    <w:qFormat/>
    <w:pPr>
      <w:outlineLvl w:val="1"/>
    </w:pPr>
    <w:rPr>
      <w:b/>
      <w:bCs/>
    </w:rPr>
  </w:style>
  <w:style w:type="paragraph" w:styleId="3">
    <w:name w:val="heading 3"/>
    <w:basedOn w:val="a"/>
    <w:next w:val="a"/>
    <w:qFormat/>
    <w:pPr>
      <w:adjustRightInd w:val="0"/>
      <w:snapToGrid w:val="0"/>
      <w:spacing w:line="336" w:lineRule="auto"/>
      <w:ind w:firstLineChars="200" w:firstLine="200"/>
      <w:outlineLvl w:val="2"/>
    </w:pPr>
    <w:rPr>
      <w:rFonts w:eastAsia="楷体_GB2312"/>
      <w:bCs/>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caption"/>
    <w:basedOn w:val="a"/>
    <w:next w:val="a"/>
    <w:uiPriority w:val="35"/>
    <w:unhideWhenUsed/>
    <w:qFormat/>
    <w:rPr>
      <w:rFonts w:ascii="Cambria" w:eastAsia="黑体" w:hAnsi="Cambria"/>
      <w:snapToGrid/>
      <w:kern w:val="2"/>
      <w:sz w:val="20"/>
      <w:szCs w:val="20"/>
    </w:rPr>
  </w:style>
  <w:style w:type="paragraph" w:styleId="a5">
    <w:name w:val="Document Map"/>
    <w:basedOn w:val="a"/>
    <w:qFormat/>
    <w:pPr>
      <w:shd w:val="clear" w:color="auto" w:fill="000080"/>
    </w:pPr>
  </w:style>
  <w:style w:type="paragraph" w:styleId="a6">
    <w:name w:val="annotation text"/>
    <w:basedOn w:val="a"/>
    <w:link w:val="a7"/>
    <w:qFormat/>
    <w:pPr>
      <w:jc w:val="left"/>
    </w:pPr>
    <w:rPr>
      <w:rFonts w:ascii="Times New Roman" w:eastAsia="宋体" w:hAnsi="Times New Roman"/>
      <w:snapToGrid/>
      <w:kern w:val="2"/>
      <w:sz w:val="21"/>
      <w:szCs w:val="20"/>
    </w:rPr>
  </w:style>
  <w:style w:type="paragraph" w:styleId="a8">
    <w:name w:val="Body Text"/>
    <w:basedOn w:val="a"/>
    <w:next w:val="a"/>
    <w:link w:val="a9"/>
    <w:qFormat/>
    <w:pPr>
      <w:spacing w:after="120"/>
    </w:pPr>
  </w:style>
  <w:style w:type="paragraph" w:styleId="aa">
    <w:name w:val="Body Text Indent"/>
    <w:basedOn w:val="a"/>
    <w:link w:val="ab"/>
    <w:qFormat/>
    <w:pPr>
      <w:ind w:left="570" w:hanging="30"/>
    </w:pPr>
    <w:rPr>
      <w:rFonts w:ascii="Times New Roman" w:eastAsia="宋体" w:hAnsi="Times New Roman"/>
      <w:snapToGrid/>
      <w:kern w:val="2"/>
      <w:sz w:val="28"/>
      <w:szCs w:val="20"/>
    </w:rPr>
  </w:style>
  <w:style w:type="paragraph" w:styleId="ac">
    <w:name w:val="Block Text"/>
    <w:basedOn w:val="a"/>
    <w:qFormat/>
    <w:pPr>
      <w:ind w:leftChars="-342" w:left="-718" w:rightChars="-244" w:right="-512"/>
      <w:jc w:val="center"/>
    </w:pPr>
    <w:rPr>
      <w:rFonts w:ascii="仿宋_GB2312"/>
      <w:snapToGrid/>
      <w:kern w:val="2"/>
      <w:sz w:val="44"/>
    </w:r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snapToGrid/>
      <w:kern w:val="0"/>
      <w:sz w:val="22"/>
      <w:szCs w:val="22"/>
    </w:rPr>
  </w:style>
  <w:style w:type="paragraph" w:styleId="ad">
    <w:name w:val="Plain Text"/>
    <w:basedOn w:val="a"/>
    <w:link w:val="ae"/>
    <w:qFormat/>
    <w:rPr>
      <w:rFonts w:eastAsia="宋体" w:hAnsi="Courier New" w:cs="Courier New"/>
      <w:kern w:val="2"/>
      <w:sz w:val="21"/>
      <w:szCs w:val="21"/>
    </w:rPr>
  </w:style>
  <w:style w:type="paragraph" w:styleId="af">
    <w:name w:val="Date"/>
    <w:basedOn w:val="a"/>
    <w:next w:val="a"/>
    <w:link w:val="af0"/>
    <w:qFormat/>
    <w:pPr>
      <w:ind w:leftChars="2500" w:left="100"/>
    </w:pPr>
  </w:style>
  <w:style w:type="paragraph" w:styleId="20">
    <w:name w:val="Body Text Indent 2"/>
    <w:basedOn w:val="a"/>
    <w:qFormat/>
    <w:pPr>
      <w:spacing w:after="120" w:line="480" w:lineRule="auto"/>
      <w:ind w:leftChars="200" w:left="420"/>
    </w:pPr>
    <w:rPr>
      <w:rFonts w:ascii="Times New Roman" w:hAnsi="Times New Roman"/>
      <w:snapToGrid/>
      <w:kern w:val="2"/>
      <w:szCs w:val="24"/>
    </w:rPr>
  </w:style>
  <w:style w:type="paragraph" w:styleId="af1">
    <w:name w:val="Balloon Text"/>
    <w:basedOn w:val="a"/>
    <w:qFormat/>
    <w:rPr>
      <w:sz w:val="18"/>
      <w:szCs w:val="18"/>
    </w:rPr>
  </w:style>
  <w:style w:type="paragraph" w:styleId="af2">
    <w:name w:val="footer"/>
    <w:basedOn w:val="a"/>
    <w:next w:val="a"/>
    <w:link w:val="af3"/>
    <w:qFormat/>
    <w:pPr>
      <w:tabs>
        <w:tab w:val="center" w:pos="4153"/>
        <w:tab w:val="right" w:pos="8306"/>
      </w:tabs>
      <w:snapToGrid w:val="0"/>
      <w:jc w:val="left"/>
    </w:pPr>
    <w:rPr>
      <w:sz w:val="18"/>
      <w:szCs w:val="18"/>
    </w:rPr>
  </w:style>
  <w:style w:type="paragraph" w:styleId="af4">
    <w:name w:val="envelope return"/>
    <w:basedOn w:val="a"/>
    <w:qFormat/>
    <w:pPr>
      <w:widowControl/>
      <w:jc w:val="left"/>
    </w:pPr>
    <w:rPr>
      <w:rFonts w:ascii="Garamond" w:eastAsia="宋体" w:hAnsi="Garamond"/>
      <w:snapToGrid/>
      <w:kern w:val="0"/>
      <w:sz w:val="24"/>
      <w:szCs w:val="20"/>
      <w:lang w:val="fr-CH" w:eastAsia="en-US"/>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630"/>
      </w:tabs>
      <w:jc w:val="center"/>
    </w:pPr>
    <w:rPr>
      <w:rFonts w:ascii="华文楷体" w:eastAsia="华文楷体" w:hAnsi="华文楷体"/>
      <w:b/>
      <w:snapToGrid/>
      <w:kern w:val="2"/>
      <w:sz w:val="36"/>
    </w:rPr>
  </w:style>
  <w:style w:type="paragraph" w:styleId="af7">
    <w:name w:val="List"/>
    <w:basedOn w:val="a8"/>
    <w:qFormat/>
    <w:pPr>
      <w:suppressAutoHyphens/>
      <w:spacing w:after="0" w:line="0" w:lineRule="atLeast"/>
      <w:jc w:val="center"/>
    </w:pPr>
    <w:rPr>
      <w:rFonts w:ascii="方正小标宋简体" w:eastAsia="方正小标宋简体" w:hAnsi="方正小标宋简体"/>
      <w:snapToGrid/>
      <w:kern w:val="1"/>
      <w:sz w:val="44"/>
      <w:szCs w:val="24"/>
    </w:rPr>
  </w:style>
  <w:style w:type="paragraph" w:styleId="af8">
    <w:name w:val="footnote text"/>
    <w:basedOn w:val="a"/>
    <w:uiPriority w:val="99"/>
    <w:qFormat/>
    <w:pPr>
      <w:snapToGrid w:val="0"/>
      <w:jc w:val="left"/>
    </w:pPr>
    <w:rPr>
      <w:sz w:val="18"/>
    </w:rPr>
  </w:style>
  <w:style w:type="paragraph" w:styleId="30">
    <w:name w:val="Body Text Indent 3"/>
    <w:basedOn w:val="a"/>
    <w:qFormat/>
    <w:pPr>
      <w:spacing w:after="120"/>
      <w:ind w:leftChars="200" w:left="420"/>
    </w:pPr>
    <w:rPr>
      <w:sz w:val="16"/>
      <w:szCs w:val="16"/>
    </w:rPr>
  </w:style>
  <w:style w:type="paragraph" w:styleId="TOC2">
    <w:name w:val="toc 2"/>
    <w:basedOn w:val="a"/>
    <w:next w:val="a"/>
    <w:uiPriority w:val="39"/>
    <w:unhideWhenUsed/>
    <w:qFormat/>
    <w:pPr>
      <w:ind w:leftChars="200" w:left="420"/>
    </w:pPr>
    <w:rPr>
      <w:rFonts w:ascii="Calibri" w:eastAsia="宋体" w:hAnsi="Calibri"/>
      <w:snapToGrid/>
      <w:kern w:val="2"/>
      <w:sz w:val="21"/>
      <w:szCs w:val="22"/>
    </w:rPr>
  </w:style>
  <w:style w:type="paragraph" w:styleId="21">
    <w:name w:val="Body Text 2"/>
    <w:basedOn w:val="a"/>
    <w:qFormat/>
    <w:pPr>
      <w:spacing w:after="120" w:line="480" w:lineRule="auto"/>
    </w:pPr>
    <w:rPr>
      <w:rFonts w:ascii="Times New Roman" w:eastAsia="宋体" w:hAnsi="Times New Roman"/>
      <w:snapToGrid/>
      <w:kern w:val="2"/>
      <w:sz w:val="21"/>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af9">
    <w:name w:val="Normal (Web)"/>
    <w:basedOn w:val="a"/>
    <w:qFormat/>
    <w:pPr>
      <w:widowControl/>
      <w:spacing w:before="100" w:beforeAutospacing="1"/>
      <w:jc w:val="center"/>
    </w:pPr>
    <w:rPr>
      <w:rFonts w:eastAsia="宋体"/>
      <w:snapToGrid/>
      <w:kern w:val="0"/>
      <w:sz w:val="24"/>
      <w:szCs w:val="24"/>
    </w:rPr>
  </w:style>
  <w:style w:type="paragraph" w:styleId="afa">
    <w:name w:val="Title"/>
    <w:basedOn w:val="a"/>
    <w:link w:val="afb"/>
    <w:qFormat/>
    <w:pPr>
      <w:spacing w:line="216" w:lineRule="auto"/>
      <w:jc w:val="center"/>
      <w:outlineLvl w:val="0"/>
    </w:pPr>
    <w:rPr>
      <w:rFonts w:ascii="方正小标宋简体" w:eastAsia="方正小标宋简体" w:hAnsi="Arial" w:cs="Arial"/>
      <w:bCs/>
      <w:kern w:val="44"/>
      <w:sz w:val="44"/>
      <w:szCs w:val="44"/>
    </w:rPr>
  </w:style>
  <w:style w:type="paragraph" w:styleId="afc">
    <w:name w:val="annotation subject"/>
    <w:basedOn w:val="a6"/>
    <w:next w:val="a6"/>
    <w:link w:val="afd"/>
    <w:qFormat/>
    <w:rPr>
      <w:rFonts w:ascii="宋体" w:eastAsia="仿宋_GB2312" w:hAnsi="宋体"/>
      <w:b/>
      <w:bCs/>
      <w:snapToGrid w:val="0"/>
      <w:kern w:val="32"/>
      <w:sz w:val="32"/>
      <w:szCs w:val="32"/>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qFormat/>
    <w:rPr>
      <w:color w:val="800080"/>
      <w:u w:val="single"/>
    </w:rPr>
  </w:style>
  <w:style w:type="character" w:styleId="aff2">
    <w:name w:val="Hyperlink"/>
    <w:basedOn w:val="a0"/>
    <w:qFormat/>
    <w:rPr>
      <w:color w:val="0000FF"/>
      <w:u w:val="single"/>
    </w:rPr>
  </w:style>
  <w:style w:type="character" w:styleId="aff3">
    <w:name w:val="annotation reference"/>
    <w:basedOn w:val="a0"/>
    <w:qFormat/>
    <w:rPr>
      <w:sz w:val="21"/>
      <w:szCs w:val="21"/>
    </w:rPr>
  </w:style>
  <w:style w:type="character" w:styleId="aff4">
    <w:name w:val="footnote reference"/>
    <w:basedOn w:val="a0"/>
    <w:uiPriority w:val="99"/>
    <w:qFormat/>
    <w:rPr>
      <w:vertAlign w:val="superscript"/>
    </w:rPr>
  </w:style>
  <w:style w:type="paragraph" w:customStyle="1" w:styleId="toc11">
    <w:name w:val="toc 11"/>
    <w:next w:val="a"/>
    <w:qFormat/>
    <w:pPr>
      <w:wordWrap w:val="0"/>
      <w:jc w:val="both"/>
    </w:pPr>
    <w:rPr>
      <w:sz w:val="21"/>
      <w:szCs w:val="22"/>
    </w:rPr>
  </w:style>
  <w:style w:type="paragraph" w:customStyle="1" w:styleId="TOC110">
    <w:name w:val="TOC 11"/>
    <w:next w:val="a"/>
    <w:qFormat/>
    <w:pPr>
      <w:wordWrap w:val="0"/>
      <w:jc w:val="both"/>
    </w:pPr>
    <w:rPr>
      <w:sz w:val="21"/>
      <w:szCs w:val="22"/>
    </w:rPr>
  </w:style>
  <w:style w:type="character" w:customStyle="1" w:styleId="ab">
    <w:name w:val="正文文本缩进 字符"/>
    <w:basedOn w:val="a0"/>
    <w:link w:val="aa"/>
    <w:qFormat/>
    <w:rPr>
      <w:rFonts w:eastAsia="宋体"/>
      <w:kern w:val="2"/>
      <w:sz w:val="28"/>
      <w:lang w:val="en-US" w:eastAsia="zh-CN" w:bidi="ar-SA"/>
    </w:rPr>
  </w:style>
  <w:style w:type="character" w:customStyle="1" w:styleId="ae">
    <w:name w:val="纯文本 字符"/>
    <w:basedOn w:val="a0"/>
    <w:link w:val="ad"/>
    <w:qFormat/>
    <w:rPr>
      <w:rFonts w:ascii="宋体" w:eastAsia="宋体" w:hAnsi="Courier New" w:cs="Courier New"/>
      <w:kern w:val="2"/>
      <w:sz w:val="21"/>
      <w:szCs w:val="21"/>
      <w:lang w:val="en-US" w:eastAsia="zh-CN" w:bidi="ar-SA"/>
    </w:rPr>
  </w:style>
  <w:style w:type="character" w:customStyle="1" w:styleId="af0">
    <w:name w:val="日期 字符"/>
    <w:basedOn w:val="a0"/>
    <w:link w:val="af"/>
    <w:semiHidden/>
    <w:qFormat/>
    <w:locked/>
    <w:rPr>
      <w:rFonts w:ascii="宋体" w:eastAsia="仿宋_GB2312" w:hAnsi="宋体"/>
      <w:snapToGrid w:val="0"/>
      <w:kern w:val="32"/>
      <w:sz w:val="32"/>
      <w:szCs w:val="32"/>
      <w:lang w:val="en-US" w:eastAsia="zh-CN" w:bidi="ar-SA"/>
    </w:rPr>
  </w:style>
  <w:style w:type="character" w:customStyle="1" w:styleId="af3">
    <w:name w:val="页脚 字符"/>
    <w:basedOn w:val="a0"/>
    <w:link w:val="af2"/>
    <w:semiHidden/>
    <w:qFormat/>
    <w:locked/>
    <w:rPr>
      <w:rFonts w:ascii="宋体" w:eastAsia="仿宋_GB2312" w:hAnsi="宋体"/>
      <w:snapToGrid w:val="0"/>
      <w:kern w:val="32"/>
      <w:sz w:val="18"/>
      <w:szCs w:val="18"/>
      <w:lang w:val="en-US" w:eastAsia="zh-CN" w:bidi="ar-SA"/>
    </w:rPr>
  </w:style>
  <w:style w:type="character" w:customStyle="1" w:styleId="af6">
    <w:name w:val="页眉 字符"/>
    <w:basedOn w:val="a0"/>
    <w:link w:val="af5"/>
    <w:semiHidden/>
    <w:qFormat/>
    <w:locked/>
    <w:rPr>
      <w:rFonts w:ascii="宋体" w:eastAsia="仿宋_GB2312" w:hAnsi="宋体"/>
      <w:snapToGrid w:val="0"/>
      <w:kern w:val="32"/>
      <w:sz w:val="18"/>
      <w:szCs w:val="18"/>
      <w:lang w:val="en-US" w:eastAsia="zh-CN" w:bidi="ar-SA"/>
    </w:rPr>
  </w:style>
  <w:style w:type="character" w:customStyle="1" w:styleId="HTML0">
    <w:name w:val="HTML 预设格式 字符"/>
    <w:link w:val="HTML"/>
    <w:qFormat/>
    <w:locked/>
    <w:rPr>
      <w:rFonts w:ascii="宋体" w:eastAsia="宋体" w:hAnsi="宋体"/>
      <w:sz w:val="24"/>
      <w:szCs w:val="24"/>
      <w:lang w:val="en-US" w:eastAsia="zh-CN" w:bidi="ar-SA"/>
    </w:rPr>
  </w:style>
  <w:style w:type="character" w:customStyle="1" w:styleId="afb">
    <w:name w:val="标题 字符"/>
    <w:basedOn w:val="a0"/>
    <w:link w:val="afa"/>
    <w:qFormat/>
    <w:locked/>
    <w:rPr>
      <w:rFonts w:ascii="方正小标宋简体" w:eastAsia="方正小标宋简体" w:hAnsi="Arial" w:cs="Arial"/>
      <w:bCs/>
      <w:snapToGrid w:val="0"/>
      <w:kern w:val="44"/>
      <w:sz w:val="44"/>
      <w:szCs w:val="44"/>
      <w:lang w:val="en-US" w:eastAsia="zh-CN" w:bidi="ar-SA"/>
    </w:rPr>
  </w:style>
  <w:style w:type="character" w:customStyle="1" w:styleId="heise12c">
    <w:name w:val="heise_12c"/>
    <w:basedOn w:val="a0"/>
    <w:qFormat/>
  </w:style>
  <w:style w:type="character" w:customStyle="1" w:styleId="content1">
    <w:name w:val="content1"/>
    <w:basedOn w:val="a0"/>
    <w:qFormat/>
    <w:rPr>
      <w:sz w:val="21"/>
      <w:szCs w:val="21"/>
    </w:rPr>
  </w:style>
  <w:style w:type="character" w:customStyle="1" w:styleId="PlainTextChar">
    <w:name w:val="Plain Text Char"/>
    <w:basedOn w:val="a0"/>
    <w:qFormat/>
    <w:rPr>
      <w:rFonts w:ascii="宋体" w:eastAsia="宋体" w:hAnsi="Courier New" w:cs="Courier New"/>
      <w:sz w:val="21"/>
      <w:szCs w:val="21"/>
    </w:rPr>
  </w:style>
  <w:style w:type="character" w:customStyle="1" w:styleId="apple-style-span">
    <w:name w:val="apple-style-span"/>
    <w:basedOn w:val="a0"/>
    <w:qFormat/>
  </w:style>
  <w:style w:type="character" w:customStyle="1" w:styleId="oalinshistyle21">
    <w:name w:val="oalinshistyle21"/>
    <w:basedOn w:val="a0"/>
    <w:qFormat/>
    <w:rPr>
      <w:rFonts w:ascii="Arial" w:hAnsi="Arial" w:cs="Arial" w:hint="default"/>
      <w:sz w:val="27"/>
      <w:szCs w:val="27"/>
    </w:rPr>
  </w:style>
  <w:style w:type="character" w:customStyle="1" w:styleId="bz12">
    <w:name w:val="bz_12"/>
    <w:basedOn w:val="a0"/>
    <w:qFormat/>
  </w:style>
  <w:style w:type="character" w:customStyle="1" w:styleId="font1">
    <w:name w:val="font1"/>
    <w:basedOn w:val="a0"/>
    <w:qFormat/>
    <w:rPr>
      <w:sz w:val="18"/>
      <w:szCs w:val="18"/>
    </w:rPr>
  </w:style>
  <w:style w:type="character" w:customStyle="1" w:styleId="1CharChar">
    <w:name w:val="样式1 Char Char"/>
    <w:basedOn w:val="a0"/>
    <w:link w:val="10"/>
    <w:qFormat/>
    <w:rPr>
      <w:rFonts w:ascii="方正小标宋简体" w:eastAsia="方正小标宋简体" w:hAnsi="Calibri"/>
      <w:kern w:val="2"/>
      <w:sz w:val="44"/>
      <w:szCs w:val="44"/>
      <w:lang w:val="en-US" w:eastAsia="zh-CN" w:bidi="ar-SA"/>
    </w:rPr>
  </w:style>
  <w:style w:type="paragraph" w:customStyle="1" w:styleId="10">
    <w:name w:val="样式1"/>
    <w:basedOn w:val="a"/>
    <w:link w:val="1CharChar"/>
    <w:qFormat/>
    <w:pPr>
      <w:jc w:val="center"/>
    </w:pPr>
    <w:rPr>
      <w:rFonts w:ascii="方正小标宋简体" w:eastAsia="方正小标宋简体" w:hAnsi="Calibri"/>
      <w:kern w:val="2"/>
      <w:sz w:val="44"/>
      <w:szCs w:val="44"/>
    </w:rPr>
  </w:style>
  <w:style w:type="paragraph" w:customStyle="1" w:styleId="ListParagraph1">
    <w:name w:val="List Paragraph1"/>
    <w:basedOn w:val="a"/>
    <w:qFormat/>
    <w:pPr>
      <w:ind w:firstLineChars="200" w:firstLine="420"/>
    </w:pPr>
    <w:rPr>
      <w:rFonts w:ascii="Calibri" w:eastAsia="宋体" w:hAnsi="Calibri" w:cs="Calibri"/>
      <w:snapToGrid/>
      <w:kern w:val="2"/>
      <w:sz w:val="21"/>
      <w:szCs w:val="21"/>
    </w:rPr>
  </w:style>
  <w:style w:type="paragraph" w:customStyle="1" w:styleId="Char1CharCharChar">
    <w:name w:val="Char1 Char Char Char"/>
    <w:basedOn w:val="a"/>
    <w:qFormat/>
  </w:style>
  <w:style w:type="paragraph" w:customStyle="1" w:styleId="11">
    <w:name w:val="无间隔1"/>
    <w:qFormat/>
    <w:pPr>
      <w:widowControl w:val="0"/>
      <w:jc w:val="both"/>
    </w:pPr>
    <w:rPr>
      <w:rFonts w:ascii="Calibri" w:hAnsi="Calibri"/>
      <w:kern w:val="2"/>
      <w:sz w:val="21"/>
      <w:szCs w:val="22"/>
    </w:rPr>
  </w:style>
  <w:style w:type="paragraph" w:customStyle="1" w:styleId="Char1CharCharChar1">
    <w:name w:val="Char1 Char Char Char1"/>
    <w:basedOn w:val="a"/>
    <w:qFormat/>
    <w:rPr>
      <w:rFonts w:ascii="Tahoma" w:eastAsia="宋体" w:hAnsi="Tahoma"/>
      <w:snapToGrid/>
      <w:kern w:val="2"/>
      <w:sz w:val="24"/>
      <w:szCs w:val="20"/>
    </w:rPr>
  </w:style>
  <w:style w:type="paragraph" w:customStyle="1" w:styleId="CharCharCharCharCharCharChar">
    <w:name w:val="样式 正文缩进正文（首行缩进两字）正文（首行缩进两字） Char Char Char Char Char Char Char..."/>
    <w:basedOn w:val="a3"/>
    <w:qFormat/>
    <w:pPr>
      <w:spacing w:line="312" w:lineRule="auto"/>
      <w:ind w:firstLineChars="0" w:firstLine="539"/>
    </w:pPr>
    <w:rPr>
      <w:rFonts w:ascii="Times New Roman" w:eastAsia="宋体" w:hAnsi="Times New Roman" w:cs="宋体"/>
      <w:snapToGrid/>
      <w:kern w:val="2"/>
      <w:sz w:val="28"/>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rFonts w:ascii="Times New Roman" w:eastAsia="宋体" w:hAnsi="Times New Roman"/>
      <w:snapToGrid/>
      <w:kern w:val="2"/>
      <w:sz w:val="21"/>
      <w:szCs w:val="20"/>
    </w:rPr>
  </w:style>
  <w:style w:type="paragraph" w:customStyle="1" w:styleId="aff5">
    <w:name w:val="规划正文"/>
    <w:basedOn w:val="a"/>
    <w:qFormat/>
    <w:pPr>
      <w:spacing w:afterLines="50" w:after="156" w:line="480" w:lineRule="exact"/>
      <w:ind w:firstLineChars="200" w:firstLine="200"/>
    </w:pPr>
    <w:rPr>
      <w:rFonts w:ascii="仿宋_GB2312" w:hAnsi="Times New Roman"/>
      <w:snapToGrid/>
      <w:kern w:val="2"/>
      <w:sz w:val="30"/>
      <w:szCs w:val="30"/>
    </w:rPr>
  </w:style>
  <w:style w:type="paragraph" w:customStyle="1" w:styleId="113125">
    <w:name w:val="样式 三号 首行缩进:  1.13 厘米 行距: 多倍行距 1.25 字行"/>
    <w:basedOn w:val="a"/>
    <w:qFormat/>
    <w:pPr>
      <w:adjustRightInd w:val="0"/>
      <w:snapToGrid w:val="0"/>
      <w:spacing w:line="360" w:lineRule="auto"/>
      <w:ind w:firstLineChars="200" w:firstLine="200"/>
    </w:pPr>
    <w:rPr>
      <w:rFonts w:ascii="Times New Roman" w:hAnsi="Times New Roman"/>
      <w:snapToGrid/>
      <w:kern w:val="2"/>
    </w:rPr>
  </w:style>
  <w:style w:type="paragraph" w:customStyle="1" w:styleId="CharChar2Char">
    <w:name w:val="Char Char2 Char"/>
    <w:basedOn w:val="a"/>
    <w:qFormat/>
    <w:rPr>
      <w:rFonts w:eastAsia="宋体" w:cs="Courier New"/>
      <w:snapToGrid/>
      <w:kern w:val="2"/>
    </w:rPr>
  </w:style>
  <w:style w:type="paragraph" w:customStyle="1" w:styleId="aff6">
    <w:name w:val="封面副标题"/>
    <w:qFormat/>
    <w:pPr>
      <w:adjustRightInd w:val="0"/>
      <w:snapToGrid w:val="0"/>
      <w:spacing w:beforeLines="50" w:before="156" w:line="360" w:lineRule="auto"/>
      <w:jc w:val="center"/>
    </w:pPr>
    <w:rPr>
      <w:rFonts w:eastAsia="黑体"/>
      <w:b/>
      <w:snapToGrid w:val="0"/>
      <w:spacing w:val="20"/>
      <w:sz w:val="52"/>
    </w:rPr>
  </w:style>
  <w:style w:type="paragraph" w:customStyle="1" w:styleId="ddddd">
    <w:name w:val="ddddd"/>
    <w:basedOn w:val="a"/>
    <w:qFormat/>
    <w:pPr>
      <w:pageBreakBefore/>
    </w:pPr>
    <w:rPr>
      <w:rFonts w:ascii="Times New Roman" w:eastAsia="宋体" w:hAnsi="Times New Roman"/>
      <w:snapToGrid/>
      <w:kern w:val="2"/>
      <w:sz w:val="21"/>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ascii="Tahoma" w:eastAsia="宋体" w:hAnsi="Tahoma"/>
      <w:b/>
      <w:snapToGrid/>
      <w:kern w:val="2"/>
      <w:sz w:val="24"/>
      <w:szCs w:val="24"/>
    </w:rPr>
  </w:style>
  <w:style w:type="paragraph" w:customStyle="1" w:styleId="aff7">
    <w:name w:val="封面标准名称"/>
    <w:qFormat/>
    <w:pPr>
      <w:widowControl w:val="0"/>
      <w:spacing w:line="680" w:lineRule="exact"/>
      <w:jc w:val="center"/>
      <w:textAlignment w:val="center"/>
    </w:pPr>
    <w:rPr>
      <w:rFonts w:ascii="黑体" w:eastAsia="黑体"/>
      <w:sz w:val="52"/>
    </w:rPr>
  </w:style>
  <w:style w:type="paragraph" w:customStyle="1" w:styleId="CharChar1">
    <w:name w:val="Char Char1"/>
    <w:basedOn w:val="a5"/>
    <w:qFormat/>
    <w:rPr>
      <w:rFonts w:ascii="Tahoma" w:eastAsia="宋体" w:hAnsi="Tahoma"/>
      <w:snapToGrid/>
      <w:kern w:val="2"/>
      <w:sz w:val="24"/>
      <w:szCs w:val="24"/>
    </w:rPr>
  </w:style>
  <w:style w:type="paragraph" w:customStyle="1" w:styleId="CharCharCharChar">
    <w:name w:val="Char Char Char Char"/>
    <w:basedOn w:val="a"/>
    <w:qFormat/>
    <w:rPr>
      <w:rFonts w:ascii="Times New Roman" w:eastAsia="宋体" w:hAnsi="Times New Roman"/>
      <w:snapToGrid/>
      <w:kern w:val="2"/>
      <w:sz w:val="21"/>
      <w:szCs w:val="24"/>
    </w:rPr>
  </w:style>
  <w:style w:type="paragraph" w:customStyle="1" w:styleId="aff8">
    <w:name w:val="首信标准正文"/>
    <w:basedOn w:val="a"/>
    <w:qFormat/>
    <w:pPr>
      <w:spacing w:line="360" w:lineRule="auto"/>
    </w:pPr>
    <w:rPr>
      <w:rFonts w:ascii="Tahoma" w:eastAsia="宋体" w:hAnsi="Tahoma"/>
      <w:snapToGrid/>
      <w:kern w:val="2"/>
      <w:sz w:val="24"/>
      <w:szCs w:val="20"/>
    </w:rPr>
  </w:style>
  <w:style w:type="paragraph" w:customStyle="1" w:styleId="ParaCharCharChar2CharCharCharCharCharCharCharCharCharChar">
    <w:name w:val="默认段落字体 Para Char Char Char2 Char Char Char Char Char Char Char Char Char Char"/>
    <w:basedOn w:val="a"/>
    <w:qFormat/>
    <w:rPr>
      <w:rFonts w:eastAsia="宋体" w:cs="Courier New"/>
      <w:snapToGrid/>
      <w:kern w:val="2"/>
    </w:rPr>
  </w:style>
  <w:style w:type="paragraph" w:customStyle="1" w:styleId="Char">
    <w:name w:val="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
    <w:name w:val="Char Char Char Char Char Char Char Char Char Char"/>
    <w:basedOn w:val="a"/>
    <w:qFormat/>
    <w:rPr>
      <w:rFonts w:ascii="Tahoma" w:eastAsia="宋体" w:hAnsi="Tahoma"/>
      <w:snapToGrid/>
      <w:kern w:val="2"/>
      <w:sz w:val="24"/>
      <w:szCs w:val="20"/>
    </w:rPr>
  </w:style>
  <w:style w:type="paragraph" w:customStyle="1" w:styleId="cjk">
    <w:name w:val="cjk"/>
    <w:basedOn w:val="a"/>
    <w:qFormat/>
    <w:pPr>
      <w:widowControl/>
      <w:spacing w:before="100" w:beforeAutospacing="1"/>
      <w:jc w:val="center"/>
    </w:pPr>
    <w:rPr>
      <w:rFonts w:eastAsia="宋体"/>
      <w:b/>
      <w:bCs/>
      <w:snapToGrid/>
      <w:kern w:val="0"/>
    </w:rPr>
  </w:style>
  <w:style w:type="paragraph" w:customStyle="1" w:styleId="CharCharCharChar1">
    <w:name w:val="Char Char Char Char1"/>
    <w:basedOn w:val="a"/>
    <w:qFormat/>
    <w:pPr>
      <w:adjustRightInd w:val="0"/>
      <w:spacing w:line="360" w:lineRule="auto"/>
    </w:pPr>
    <w:rPr>
      <w:rFonts w:ascii="Times New Roman" w:eastAsia="宋体" w:hAnsi="Times New Roman"/>
      <w:snapToGrid/>
      <w:kern w:val="0"/>
      <w:sz w:val="24"/>
      <w:szCs w:val="20"/>
    </w:rPr>
  </w:style>
  <w:style w:type="paragraph" w:customStyle="1" w:styleId="12">
    <w:name w:val="列表段落1"/>
    <w:basedOn w:val="a"/>
    <w:qFormat/>
    <w:pPr>
      <w:ind w:firstLineChars="200" w:firstLine="420"/>
    </w:pPr>
    <w:rPr>
      <w:rFonts w:ascii="Calibri" w:eastAsia="宋体" w:hAnsi="Calibri"/>
      <w:snapToGrid/>
      <w:kern w:val="2"/>
      <w:sz w:val="21"/>
      <w:szCs w:val="22"/>
    </w:rPr>
  </w:style>
  <w:style w:type="paragraph" w:customStyle="1" w:styleId="aff9">
    <w:name w:val="正文（基准，首行不缩进）"/>
    <w:qFormat/>
    <w:pPr>
      <w:widowControl w:val="0"/>
      <w:autoSpaceDE w:val="0"/>
      <w:autoSpaceDN w:val="0"/>
      <w:adjustRightInd w:val="0"/>
      <w:jc w:val="both"/>
    </w:pPr>
    <w:rPr>
      <w:sz w:val="21"/>
    </w:rPr>
  </w:style>
  <w:style w:type="paragraph" w:customStyle="1" w:styleId="WW-2">
    <w:name w:val="WW-正文文字缩进 2"/>
    <w:basedOn w:val="a"/>
    <w:qFormat/>
    <w:pPr>
      <w:suppressAutoHyphens/>
      <w:spacing w:line="276" w:lineRule="auto"/>
      <w:ind w:firstLine="630"/>
    </w:pPr>
    <w:rPr>
      <w:rFonts w:ascii="楷体_GB2312" w:eastAsia="宋体" w:hAnsi="楷体_GB2312"/>
      <w:snapToGrid/>
      <w:kern w:val="1"/>
      <w:szCs w:val="20"/>
    </w:rPr>
  </w:style>
  <w:style w:type="paragraph" w:customStyle="1" w:styleId="Char11">
    <w:name w:val="Char11"/>
    <w:basedOn w:val="a"/>
    <w:qFormat/>
    <w:rPr>
      <w:rFonts w:eastAsia="宋体" w:cs="Courier New"/>
      <w:snapToGrid/>
      <w:kern w:val="2"/>
    </w:rPr>
  </w:style>
  <w:style w:type="paragraph" w:customStyle="1" w:styleId="CharCharCharCharCharChar">
    <w:name w:val="Char Char Char Char Char Char"/>
    <w:basedOn w:val="a"/>
    <w:qFormat/>
    <w:pPr>
      <w:widowControl/>
      <w:spacing w:after="160" w:line="240" w:lineRule="exact"/>
      <w:jc w:val="left"/>
    </w:pPr>
    <w:rPr>
      <w:rFonts w:ascii="Arial" w:eastAsia="Times New Roman" w:hAnsi="Arial" w:cs="Verdana"/>
      <w:b/>
      <w:snapToGrid/>
      <w:kern w:val="0"/>
      <w:sz w:val="24"/>
      <w:szCs w:val="20"/>
      <w:lang w:eastAsia="en-US"/>
    </w:rPr>
  </w:style>
  <w:style w:type="paragraph" w:customStyle="1" w:styleId="CharCharCharCharCharCharCharCharCharCharCharCharChar">
    <w:name w:val="Char Char Char Char Char Char Char Char Char Char Char Char Char"/>
    <w:basedOn w:val="a"/>
    <w:qFormat/>
    <w:rPr>
      <w:rFonts w:ascii="Tahoma" w:eastAsia="宋体" w:hAnsi="Tahoma"/>
      <w:snapToGrid/>
      <w:kern w:val="2"/>
      <w:sz w:val="24"/>
      <w:szCs w:val="20"/>
    </w:rPr>
  </w:style>
  <w:style w:type="paragraph" w:customStyle="1" w:styleId="Char2CharCharCharCharCharChar">
    <w:name w:val="Char2 Char Char Char Char Char Char"/>
    <w:basedOn w:val="a"/>
    <w:qFormat/>
    <w:pPr>
      <w:snapToGrid w:val="0"/>
      <w:spacing w:line="360" w:lineRule="auto"/>
      <w:ind w:firstLineChars="200" w:firstLine="200"/>
    </w:pPr>
    <w:rPr>
      <w:rFonts w:ascii="Times New Roman" w:hAnsi="Times New Roman"/>
      <w:snapToGrid/>
      <w:kern w:val="2"/>
      <w:sz w:val="24"/>
      <w:szCs w:val="24"/>
    </w:rPr>
  </w:style>
  <w:style w:type="paragraph" w:customStyle="1" w:styleId="CharCharCharCharCharCharChar0">
    <w:name w:val="Char Char Char Char Char Char Char"/>
    <w:basedOn w:val="a"/>
    <w:qFormat/>
    <w:rPr>
      <w:rFonts w:eastAsia="宋体" w:cs="Courier New"/>
      <w:snapToGrid/>
      <w:kern w:val="2"/>
    </w:rPr>
  </w:style>
  <w:style w:type="paragraph" w:customStyle="1" w:styleId="CharCharCharCharCharCharCharCharCharCharCharCharCharCharCharChar">
    <w:name w:val="Char Char Char Char Char Char Char Char Char Char Char Char Char Char Char Char"/>
    <w:basedOn w:val="a"/>
    <w:qFormat/>
    <w:pPr>
      <w:jc w:val="center"/>
    </w:pPr>
    <w:rPr>
      <w:rFonts w:ascii="Tahoma" w:eastAsia="宋体" w:hAnsi="Tahoma"/>
      <w:snapToGrid/>
      <w:kern w:val="2"/>
      <w:sz w:val="24"/>
      <w:szCs w:val="20"/>
    </w:rPr>
  </w:style>
  <w:style w:type="paragraph" w:customStyle="1" w:styleId="Char1">
    <w:name w:val="Char1"/>
    <w:basedOn w:val="a"/>
    <w:qFormat/>
    <w:rPr>
      <w:rFonts w:ascii="Tahoma" w:eastAsia="宋体" w:hAnsi="Tahoma"/>
      <w:snapToGrid/>
      <w:kern w:val="2"/>
      <w:sz w:val="24"/>
      <w:szCs w:val="20"/>
    </w:rPr>
  </w:style>
  <w:style w:type="paragraph" w:customStyle="1" w:styleId="ParaCharCharCharChar">
    <w:name w:val="默认段落字体 Para Char Char Char Char"/>
    <w:basedOn w:val="a"/>
    <w:qFormat/>
    <w:rPr>
      <w:rFonts w:ascii="Times New Roman" w:eastAsia="宋体" w:hAnsi="Times New Roman"/>
      <w:snapToGrid/>
      <w:kern w:val="2"/>
      <w:sz w:val="21"/>
      <w:szCs w:val="24"/>
    </w:rPr>
  </w:style>
  <w:style w:type="paragraph" w:customStyle="1" w:styleId="msolistparagraph0">
    <w:name w:val="msolistparagraph"/>
    <w:basedOn w:val="a"/>
    <w:qFormat/>
    <w:pPr>
      <w:widowControl/>
      <w:spacing w:before="100" w:beforeAutospacing="1" w:after="100" w:afterAutospacing="1"/>
      <w:jc w:val="left"/>
    </w:pPr>
    <w:rPr>
      <w:rFonts w:eastAsia="宋体" w:cs="宋体"/>
      <w:snapToGrid/>
      <w:kern w:val="0"/>
      <w:sz w:val="24"/>
      <w:szCs w:val="24"/>
    </w:rPr>
  </w:style>
  <w:style w:type="character" w:customStyle="1" w:styleId="content">
    <w:name w:val="content"/>
    <w:basedOn w:val="a0"/>
    <w:qFormat/>
  </w:style>
  <w:style w:type="paragraph" w:customStyle="1" w:styleId="affa">
    <w:name w:val="主题词"/>
    <w:basedOn w:val="a"/>
    <w:qFormat/>
    <w:pPr>
      <w:jc w:val="left"/>
    </w:pPr>
    <w:rPr>
      <w:rFonts w:ascii="Times New Roman" w:eastAsia="宋体" w:hAnsi="Times New Roman"/>
      <w:snapToGrid/>
      <w:kern w:val="2"/>
      <w:szCs w:val="20"/>
    </w:rPr>
  </w:style>
  <w:style w:type="paragraph" w:customStyle="1" w:styleId="affb">
    <w:name w:val="我的正文"/>
    <w:basedOn w:val="a"/>
    <w:qFormat/>
    <w:pPr>
      <w:ind w:firstLineChars="200" w:firstLine="200"/>
    </w:pPr>
    <w:rPr>
      <w:rFonts w:ascii="Calibri" w:eastAsia="宋体" w:hAnsi="Calibri"/>
      <w:snapToGrid/>
      <w:kern w:val="2"/>
      <w:sz w:val="24"/>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cxspmiddle">
    <w:name w:val="msonormalcxspmiddle"/>
    <w:basedOn w:val="a"/>
    <w:qFormat/>
    <w:pPr>
      <w:widowControl/>
      <w:spacing w:before="100" w:beforeAutospacing="1" w:after="100" w:afterAutospacing="1"/>
      <w:jc w:val="left"/>
    </w:pPr>
    <w:rPr>
      <w:rFonts w:eastAsia="宋体" w:cs="宋体"/>
      <w:snapToGrid/>
      <w:kern w:val="0"/>
      <w:sz w:val="24"/>
      <w:szCs w:val="24"/>
    </w:rPr>
  </w:style>
  <w:style w:type="paragraph" w:customStyle="1" w:styleId="BECC">
    <w:name w:val="!BECC正文"/>
    <w:basedOn w:val="a"/>
    <w:link w:val="BECCChar"/>
    <w:qFormat/>
    <w:pPr>
      <w:tabs>
        <w:tab w:val="left" w:pos="0"/>
      </w:tabs>
      <w:spacing w:beforeLines="50" w:afterLines="50" w:line="360" w:lineRule="auto"/>
      <w:ind w:firstLineChars="200" w:firstLine="480"/>
      <w:contextualSpacing/>
    </w:pPr>
    <w:rPr>
      <w:rFonts w:ascii="Times New Roman" w:eastAsia="宋体" w:hAnsi="Times New Roman"/>
      <w:snapToGrid/>
      <w:kern w:val="0"/>
      <w:sz w:val="24"/>
      <w:szCs w:val="24"/>
    </w:rPr>
  </w:style>
  <w:style w:type="character" w:customStyle="1" w:styleId="BECCChar">
    <w:name w:val="!BECC正文 Char"/>
    <w:link w:val="BECC"/>
    <w:qFormat/>
    <w:rPr>
      <w:rFonts w:eastAsia="宋体"/>
      <w:sz w:val="24"/>
      <w:szCs w:val="24"/>
      <w:lang w:bidi="ar-SA"/>
    </w:rPr>
  </w:style>
  <w:style w:type="paragraph" w:customStyle="1" w:styleId="WW-">
    <w:name w:val="WW-日期"/>
    <w:basedOn w:val="a"/>
    <w:next w:val="a"/>
    <w:qFormat/>
    <w:pPr>
      <w:suppressAutoHyphens/>
    </w:pPr>
    <w:rPr>
      <w:rFonts w:ascii="仿宋_GB2312" w:hAnsi="仿宋_GB2312"/>
      <w:snapToGrid/>
      <w:kern w:val="1"/>
      <w:szCs w:val="24"/>
    </w:rPr>
  </w:style>
  <w:style w:type="paragraph" w:customStyle="1" w:styleId="New">
    <w:name w:val="正文 New"/>
    <w:qFormat/>
    <w:pPr>
      <w:widowControl w:val="0"/>
      <w:jc w:val="both"/>
    </w:pPr>
    <w:rPr>
      <w:rFonts w:eastAsia="楷体_GB2312"/>
      <w:kern w:val="2"/>
      <w:sz w:val="3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Calibri" w:hAnsi="Calibri" w:cs="黑体"/>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snapToGrid w:val="0"/>
      <w:jc w:val="both"/>
    </w:pPr>
    <w:rPr>
      <w:rFonts w:ascii="宋体" w:eastAsia="仿宋_GB2312" w:hAnsi="宋体"/>
      <w:kern w:val="32"/>
      <w:sz w:val="32"/>
      <w:szCs w:val="32"/>
    </w:rPr>
  </w:style>
  <w:style w:type="paragraph" w:customStyle="1" w:styleId="NewNewNew">
    <w:name w:val="正文 New New New"/>
    <w:qFormat/>
    <w:pPr>
      <w:widowControl w:val="0"/>
      <w:jc w:val="both"/>
    </w:pPr>
    <w:rPr>
      <w:rFonts w:ascii="宋体" w:eastAsia="楷体_GB2312" w:hAnsi="宋体"/>
      <w:kern w:val="2"/>
      <w:sz w:val="32"/>
    </w:rPr>
  </w:style>
  <w:style w:type="character" w:customStyle="1" w:styleId="1CharNew">
    <w:name w:val="标题 1 Char New"/>
    <w:basedOn w:val="a0"/>
    <w:link w:val="110"/>
    <w:qFormat/>
    <w:locked/>
    <w:rPr>
      <w:rFonts w:ascii="宋体" w:hAnsi="宋体"/>
      <w:b/>
      <w:kern w:val="36"/>
      <w:sz w:val="48"/>
      <w:lang w:bidi="ar-SA"/>
    </w:rPr>
  </w:style>
  <w:style w:type="paragraph" w:customStyle="1" w:styleId="110">
    <w:name w:val="标题 11"/>
    <w:basedOn w:val="a"/>
    <w:link w:val="1CharNew"/>
    <w:qFormat/>
    <w:pPr>
      <w:spacing w:before="100" w:beforeAutospacing="1" w:after="100" w:afterAutospacing="1" w:line="336" w:lineRule="auto"/>
      <w:outlineLvl w:val="0"/>
    </w:pPr>
    <w:rPr>
      <w:rFonts w:eastAsia="Times New Roman"/>
      <w:b/>
      <w:snapToGrid/>
      <w:kern w:val="36"/>
      <w:sz w:val="48"/>
      <w:szCs w:val="20"/>
    </w:rPr>
  </w:style>
  <w:style w:type="character" w:customStyle="1" w:styleId="Char0">
    <w:name w:val="段 Char"/>
    <w:link w:val="affc"/>
    <w:qFormat/>
    <w:rPr>
      <w:rFonts w:ascii="宋体" w:eastAsia="Times New Roman"/>
      <w:sz w:val="21"/>
      <w:lang w:val="en-US" w:eastAsia="zh-CN" w:bidi="ar-SA"/>
    </w:rPr>
  </w:style>
  <w:style w:type="paragraph" w:customStyle="1" w:styleId="affc">
    <w:name w:val="段"/>
    <w:link w:val="Char0"/>
    <w:qFormat/>
    <w:pPr>
      <w:tabs>
        <w:tab w:val="center" w:pos="4201"/>
        <w:tab w:val="right" w:leader="dot" w:pos="9298"/>
      </w:tabs>
      <w:autoSpaceDE w:val="0"/>
      <w:autoSpaceDN w:val="0"/>
      <w:ind w:firstLineChars="200" w:firstLine="420"/>
      <w:jc w:val="both"/>
    </w:pPr>
    <w:rPr>
      <w:rFonts w:ascii="宋体" w:eastAsia="Times New Roman"/>
      <w:sz w:val="21"/>
    </w:rPr>
  </w:style>
  <w:style w:type="paragraph" w:customStyle="1" w:styleId="CharCharCharCharCharCharChar1">
    <w:name w:val="Char Char Char Char Char Char Char1"/>
    <w:basedOn w:val="a"/>
    <w:qFormat/>
    <w:rPr>
      <w:rFonts w:ascii="Tahoma" w:eastAsia="宋体" w:hAnsi="Tahoma"/>
      <w:snapToGrid/>
      <w:kern w:val="2"/>
      <w:sz w:val="24"/>
      <w:szCs w:val="20"/>
    </w:rPr>
  </w:style>
  <w:style w:type="paragraph" w:customStyle="1" w:styleId="13">
    <w:name w:val="列出段落1"/>
    <w:basedOn w:val="a"/>
    <w:uiPriority w:val="34"/>
    <w:qFormat/>
    <w:pPr>
      <w:ind w:firstLineChars="200" w:firstLine="420"/>
    </w:pPr>
    <w:rPr>
      <w:rFonts w:ascii="Calibri" w:eastAsia="宋体" w:hAnsi="Calibri"/>
      <w:snapToGrid/>
      <w:kern w:val="2"/>
      <w:sz w:val="21"/>
      <w:szCs w:val="22"/>
    </w:rPr>
  </w:style>
  <w:style w:type="paragraph" w:customStyle="1" w:styleId="14">
    <w:name w:val="修订1"/>
    <w:hidden/>
    <w:uiPriority w:val="99"/>
    <w:semiHidden/>
    <w:qFormat/>
    <w:rPr>
      <w:rFonts w:ascii="宋体" w:eastAsia="仿宋_GB2312" w:hAnsi="宋体"/>
      <w:snapToGrid w:val="0"/>
      <w:kern w:val="32"/>
      <w:sz w:val="32"/>
      <w:szCs w:val="32"/>
    </w:rPr>
  </w:style>
  <w:style w:type="paragraph" w:customStyle="1" w:styleId="Style5">
    <w:name w:val="_Style 5"/>
    <w:basedOn w:val="a"/>
    <w:qFormat/>
    <w:pPr>
      <w:ind w:firstLineChars="200" w:firstLine="420"/>
    </w:pPr>
    <w:rPr>
      <w:rFonts w:ascii="Calibri" w:eastAsia="宋体" w:hAnsi="Calibri" w:cs="Calibri"/>
      <w:snapToGrid/>
      <w:kern w:val="2"/>
      <w:sz w:val="21"/>
      <w:szCs w:val="21"/>
    </w:rPr>
  </w:style>
  <w:style w:type="character" w:customStyle="1" w:styleId="15">
    <w:name w:val="15"/>
    <w:basedOn w:val="a0"/>
    <w:qFormat/>
    <w:rPr>
      <w:rFonts w:ascii="Times New Roman" w:hAnsi="Times New Roman" w:cs="Times New Roman" w:hint="default"/>
    </w:rPr>
  </w:style>
  <w:style w:type="character" w:customStyle="1" w:styleId="NormalCharacter">
    <w:name w:val="NormalCharacter"/>
    <w:link w:val="UserStyle19"/>
    <w:qFormat/>
  </w:style>
  <w:style w:type="paragraph" w:customStyle="1" w:styleId="UserStyle19">
    <w:name w:val="UserStyle_19"/>
    <w:basedOn w:val="a"/>
    <w:link w:val="NormalCharacter"/>
    <w:qFormat/>
    <w:pPr>
      <w:textAlignment w:val="baseline"/>
    </w:pPr>
  </w:style>
  <w:style w:type="character" w:customStyle="1" w:styleId="a7">
    <w:name w:val="批注文字 字符"/>
    <w:basedOn w:val="a0"/>
    <w:link w:val="a6"/>
    <w:qFormat/>
    <w:rPr>
      <w:kern w:val="2"/>
      <w:sz w:val="21"/>
    </w:rPr>
  </w:style>
  <w:style w:type="character" w:customStyle="1" w:styleId="afd">
    <w:name w:val="批注主题 字符"/>
    <w:basedOn w:val="a7"/>
    <w:link w:val="afc"/>
    <w:qFormat/>
    <w:rPr>
      <w:rFonts w:ascii="宋体" w:eastAsia="仿宋_GB2312" w:hAnsi="宋体"/>
      <w:b/>
      <w:bCs/>
      <w:snapToGrid w:val="0"/>
      <w:kern w:val="32"/>
      <w:sz w:val="32"/>
      <w:szCs w:val="32"/>
    </w:rPr>
  </w:style>
  <w:style w:type="paragraph" w:customStyle="1" w:styleId="22">
    <w:name w:val="修订2"/>
    <w:hidden/>
    <w:uiPriority w:val="99"/>
    <w:unhideWhenUsed/>
    <w:qFormat/>
    <w:rPr>
      <w:rFonts w:ascii="宋体" w:eastAsia="仿宋_GB2312" w:hAnsi="宋体"/>
      <w:snapToGrid w:val="0"/>
      <w:kern w:val="32"/>
      <w:sz w:val="32"/>
      <w:szCs w:val="32"/>
    </w:rPr>
  </w:style>
  <w:style w:type="paragraph" w:customStyle="1" w:styleId="111">
    <w:name w:val="目录 11"/>
    <w:next w:val="a"/>
    <w:qFormat/>
    <w:pPr>
      <w:wordWrap w:val="0"/>
      <w:jc w:val="both"/>
    </w:pPr>
    <w:rPr>
      <w:sz w:val="21"/>
      <w:szCs w:val="22"/>
    </w:rPr>
  </w:style>
  <w:style w:type="paragraph" w:customStyle="1" w:styleId="affd">
    <w:name w:val="公文正文"/>
    <w:basedOn w:val="a"/>
    <w:qFormat/>
    <w:pPr>
      <w:adjustRightInd w:val="0"/>
      <w:snapToGrid w:val="0"/>
      <w:spacing w:line="560" w:lineRule="exact"/>
      <w:ind w:firstLineChars="200" w:firstLine="560"/>
    </w:pPr>
  </w:style>
  <w:style w:type="paragraph" w:customStyle="1" w:styleId="31">
    <w:name w:val="修订3"/>
    <w:hidden/>
    <w:uiPriority w:val="99"/>
    <w:unhideWhenUsed/>
    <w:qFormat/>
    <w:rPr>
      <w:rFonts w:ascii="宋体" w:eastAsia="仿宋_GB2312" w:hAnsi="宋体"/>
      <w:snapToGrid w:val="0"/>
      <w:kern w:val="32"/>
      <w:sz w:val="32"/>
      <w:szCs w:val="32"/>
    </w:rPr>
  </w:style>
  <w:style w:type="paragraph" w:styleId="affe">
    <w:name w:val="List Paragraph"/>
    <w:basedOn w:val="a"/>
    <w:uiPriority w:val="99"/>
    <w:unhideWhenUsed/>
    <w:qFormat/>
    <w:pPr>
      <w:ind w:firstLineChars="200" w:firstLine="420"/>
    </w:pPr>
  </w:style>
  <w:style w:type="paragraph" w:customStyle="1" w:styleId="UserStyle4">
    <w:name w:val="UserStyle_4"/>
    <w:next w:val="a"/>
    <w:qFormat/>
    <w:pPr>
      <w:jc w:val="both"/>
      <w:textAlignment w:val="baseline"/>
    </w:pPr>
    <w:rPr>
      <w:rFonts w:ascii="Calibri" w:hAnsi="Calibri"/>
      <w:sz w:val="21"/>
      <w:szCs w:val="22"/>
    </w:rPr>
  </w:style>
  <w:style w:type="character" w:customStyle="1" w:styleId="a9">
    <w:name w:val="正文文本 字符"/>
    <w:basedOn w:val="a0"/>
    <w:link w:val="a8"/>
    <w:qFormat/>
    <w:rPr>
      <w:rFonts w:ascii="宋体" w:eastAsia="仿宋_GB2312" w:hAnsi="宋体"/>
      <w:snapToGrid w:val="0"/>
      <w:kern w:val="32"/>
      <w:sz w:val="32"/>
      <w:szCs w:val="32"/>
    </w:rPr>
  </w:style>
  <w:style w:type="paragraph" w:styleId="afff">
    <w:name w:val="Revision"/>
    <w:hidden/>
    <w:uiPriority w:val="99"/>
    <w:unhideWhenUsed/>
    <w:rsid w:val="00635959"/>
    <w:rPr>
      <w:rFonts w:ascii="宋体" w:eastAsia="仿宋_GB2312" w:hAnsi="宋体"/>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3484</Words>
  <Characters>3659</Characters>
  <Application>Microsoft Office Word</Application>
  <DocSecurity>0</DocSecurity>
  <Lines>174</Lines>
  <Paragraphs>127</Paragraphs>
  <ScaleCrop>false</ScaleCrop>
  <Company>bgs</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楚轩 黄</cp:lastModifiedBy>
  <cp:revision>107</cp:revision>
  <cp:lastPrinted>2025-09-25T02:33:00Z</cp:lastPrinted>
  <dcterms:created xsi:type="dcterms:W3CDTF">2019-06-13T16:38:00Z</dcterms:created>
  <dcterms:modified xsi:type="dcterms:W3CDTF">2025-10-23T02:26:00Z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1460FD987CA3DB815D55D2686CD9CA6B</vt:lpwstr>
  </property>
  <property fmtid="{D5CDD505-2E9C-101B-9397-08002B2CF9AE}" pid="4" name="KSOTemplateDocerSaveRecord">
    <vt:lpwstr>eyJoZGlkIjoiMTMyYjJiZjVlZmYzM2ExMTM4ZWFjN2JiM2FiMWJhZjciLCJ1c2VySWQiOiIzODM0NDUxMTIifQ==</vt:lpwstr>
  </property>
</Properties>
</file>